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41C7" w:rsidRDefault="009439D5">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r>
        <w:rPr>
          <w:rFonts w:ascii="Times New Roman" w:hAnsi="Times New Roman" w:cs="Times New Roman"/>
          <w:b/>
          <w:bCs/>
          <w:sz w:val="36"/>
          <w:szCs w:val="36"/>
        </w:rPr>
        <w:t xml:space="preserve"> </w:t>
      </w:r>
    </w:p>
    <w:p w:rsidR="00BE41C7" w:rsidRDefault="009439D5">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r>
        <w:rPr>
          <w:rFonts w:ascii="Times New Roman" w:hAnsi="Times New Roman" w:cs="Times New Roman"/>
          <w:b/>
          <w:bCs/>
          <w:sz w:val="36"/>
          <w:szCs w:val="36"/>
        </w:rPr>
        <w:t xml:space="preserve"> </w:t>
      </w:r>
    </w:p>
    <w:p w:rsidR="00BE41C7" w:rsidRDefault="009439D5">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r>
        <w:rPr>
          <w:rFonts w:ascii="Times New Roman" w:hAnsi="Times New Roman" w:cs="Times New Roman"/>
          <w:b/>
          <w:bCs/>
          <w:sz w:val="36"/>
          <w:szCs w:val="36"/>
        </w:rPr>
        <w:t xml:space="preserve"> </w:t>
      </w:r>
    </w:p>
    <w:p w:rsidR="00BE41C7" w:rsidRDefault="009439D5">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r>
        <w:rPr>
          <w:rFonts w:ascii="Times New Roman" w:hAnsi="Times New Roman" w:cs="Times New Roman"/>
          <w:b/>
          <w:bCs/>
          <w:sz w:val="36"/>
          <w:szCs w:val="36"/>
        </w:rPr>
        <w:t xml:space="preserve"> </w:t>
      </w:r>
    </w:p>
    <w:p w:rsidR="00BE41C7" w:rsidRDefault="009439D5">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r>
        <w:rPr>
          <w:rFonts w:ascii="Times New Roman" w:hAnsi="Times New Roman" w:cs="Times New Roman"/>
          <w:b/>
          <w:bCs/>
          <w:sz w:val="36"/>
          <w:szCs w:val="36"/>
        </w:rPr>
        <w:t xml:space="preserve"> </w:t>
      </w:r>
    </w:p>
    <w:p w:rsidR="00BE41C7" w:rsidRDefault="009439D5">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r>
        <w:rPr>
          <w:rFonts w:ascii="Times New Roman" w:hAnsi="Times New Roman" w:cs="Times New Roman"/>
          <w:b/>
          <w:bCs/>
          <w:sz w:val="36"/>
          <w:szCs w:val="36"/>
        </w:rPr>
        <w:t xml:space="preserve"> </w:t>
      </w:r>
    </w:p>
    <w:p w:rsidR="00BE41C7" w:rsidRDefault="009439D5">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r>
        <w:rPr>
          <w:rFonts w:ascii="Times New Roman" w:hAnsi="Times New Roman" w:cs="Times New Roman"/>
          <w:b/>
          <w:bCs/>
          <w:sz w:val="36"/>
          <w:szCs w:val="36"/>
        </w:rPr>
        <w:t xml:space="preserve"> </w:t>
      </w:r>
    </w:p>
    <w:p w:rsidR="00BE41C7" w:rsidRDefault="009439D5">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r>
        <w:rPr>
          <w:rFonts w:ascii="Times New Roman" w:hAnsi="Times New Roman" w:cs="Times New Roman"/>
          <w:b/>
          <w:bCs/>
          <w:sz w:val="36"/>
          <w:szCs w:val="36"/>
        </w:rPr>
        <w:t xml:space="preserve"> </w:t>
      </w:r>
    </w:p>
    <w:p w:rsidR="00BE41C7" w:rsidRDefault="009439D5">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r>
        <w:rPr>
          <w:rFonts w:ascii="Times New Roman" w:hAnsi="Times New Roman" w:cs="Times New Roman"/>
          <w:b/>
          <w:bCs/>
          <w:sz w:val="36"/>
          <w:szCs w:val="36"/>
        </w:rPr>
        <w:t xml:space="preserve"> </w:t>
      </w:r>
    </w:p>
    <w:p w:rsidR="00BE41C7" w:rsidRDefault="009439D5">
      <w:pPr>
        <w:autoSpaceDE w:val="0"/>
        <w:autoSpaceDN w:val="0"/>
        <w:adjustRightInd w:val="0"/>
        <w:spacing w:before="100" w:beforeAutospacing="1" w:after="100" w:afterAutospacing="1"/>
        <w:ind w:firstLine="601"/>
        <w:jc w:val="center"/>
        <w:rPr>
          <w:color w:val="000000"/>
        </w:rPr>
      </w:pPr>
      <w:r>
        <w:rPr>
          <w:rFonts w:ascii="仿宋_GB2312" w:eastAsia="仿宋_GB2312" w:hAnsi="Times New Roman" w:hint="eastAsia"/>
          <w:b/>
          <w:bCs/>
          <w:color w:val="000000"/>
          <w:sz w:val="44"/>
          <w:szCs w:val="44"/>
        </w:rPr>
        <w:t>呼伦贝尔市应急管理局</w:t>
      </w:r>
    </w:p>
    <w:p w:rsidR="00BE41C7" w:rsidRDefault="009439D5">
      <w:pPr>
        <w:autoSpaceDE w:val="0"/>
        <w:autoSpaceDN w:val="0"/>
        <w:adjustRightInd w:val="0"/>
        <w:spacing w:before="100" w:beforeAutospacing="1" w:after="100" w:afterAutospacing="1"/>
        <w:ind w:firstLine="601"/>
        <w:jc w:val="center"/>
        <w:rPr>
          <w:rFonts w:ascii="Times New Roman" w:eastAsia="仿宋_GB2312" w:hAnsi="Times New Roman" w:cs="Times New Roman"/>
          <w:b/>
          <w:bCs/>
          <w:sz w:val="44"/>
          <w:szCs w:val="44"/>
        </w:rPr>
      </w:pPr>
      <w:r>
        <w:rPr>
          <w:rFonts w:ascii="仿宋_GB2312" w:eastAsia="仿宋_GB2312" w:hAnsi="Times New Roman" w:hint="eastAsia"/>
          <w:b/>
          <w:bCs/>
          <w:sz w:val="44"/>
          <w:szCs w:val="44"/>
        </w:rPr>
        <w:t>2019年度决算公开报告</w:t>
      </w:r>
    </w:p>
    <w:p w:rsidR="00BE41C7" w:rsidRDefault="009439D5">
      <w:pPr>
        <w:autoSpaceDE w:val="0"/>
        <w:autoSpaceDN w:val="0"/>
        <w:adjustRightInd w:val="0"/>
        <w:spacing w:before="100" w:beforeAutospacing="1" w:after="100" w:afterAutospacing="1" w:line="580" w:lineRule="exact"/>
        <w:ind w:firstLine="600"/>
        <w:jc w:val="center"/>
        <w:rPr>
          <w:rFonts w:ascii="Times New Roman" w:eastAsia="仿宋_GB2312" w:hAnsi="Times New Roman" w:cs="Times New Roman"/>
          <w:b/>
          <w:bCs/>
          <w:sz w:val="36"/>
          <w:szCs w:val="36"/>
        </w:rPr>
      </w:pPr>
      <w:r>
        <w:rPr>
          <w:rFonts w:ascii="Times New Roman" w:eastAsia="仿宋_GB2312" w:hAnsi="Times New Roman" w:cs="Times New Roman"/>
          <w:b/>
          <w:bCs/>
          <w:sz w:val="36"/>
          <w:szCs w:val="36"/>
        </w:rPr>
        <w:t xml:space="preserve"> </w:t>
      </w:r>
    </w:p>
    <w:p w:rsidR="00BE41C7" w:rsidRDefault="009439D5">
      <w:pPr>
        <w:autoSpaceDE w:val="0"/>
        <w:autoSpaceDN w:val="0"/>
        <w:adjustRightInd w:val="0"/>
        <w:spacing w:before="100" w:beforeAutospacing="1" w:after="100" w:afterAutospacing="1" w:line="580" w:lineRule="exact"/>
        <w:ind w:firstLine="600"/>
        <w:jc w:val="center"/>
        <w:rPr>
          <w:rFonts w:ascii="Times New Roman" w:eastAsia="仿宋_GB2312" w:hAnsi="Times New Roman" w:cs="Times New Roman"/>
          <w:b/>
          <w:bCs/>
          <w:sz w:val="36"/>
          <w:szCs w:val="36"/>
        </w:rPr>
      </w:pPr>
      <w:r>
        <w:rPr>
          <w:rFonts w:ascii="Times New Roman" w:eastAsia="仿宋_GB2312" w:hAnsi="Times New Roman" w:cs="Times New Roman"/>
          <w:b/>
          <w:bCs/>
          <w:sz w:val="36"/>
          <w:szCs w:val="36"/>
        </w:rPr>
        <w:t xml:space="preserve"> </w:t>
      </w:r>
    </w:p>
    <w:p w:rsidR="00BE41C7" w:rsidRDefault="009439D5">
      <w:pPr>
        <w:autoSpaceDE w:val="0"/>
        <w:autoSpaceDN w:val="0"/>
        <w:adjustRightInd w:val="0"/>
        <w:spacing w:before="100" w:beforeAutospacing="1" w:after="100" w:afterAutospacing="1" w:line="580" w:lineRule="exact"/>
        <w:ind w:firstLine="600"/>
        <w:jc w:val="center"/>
        <w:rPr>
          <w:rFonts w:ascii="Times New Roman" w:eastAsia="仿宋_GB2312" w:hAnsi="Times New Roman" w:cs="Times New Roman"/>
          <w:b/>
          <w:bCs/>
          <w:sz w:val="36"/>
          <w:szCs w:val="36"/>
        </w:rPr>
      </w:pPr>
      <w:r>
        <w:rPr>
          <w:rFonts w:ascii="Times New Roman" w:eastAsia="仿宋_GB2312" w:hAnsi="Times New Roman" w:cs="Times New Roman"/>
          <w:b/>
          <w:bCs/>
          <w:sz w:val="36"/>
          <w:szCs w:val="36"/>
        </w:rPr>
        <w:t xml:space="preserve"> </w:t>
      </w:r>
    </w:p>
    <w:p w:rsidR="00BE41C7" w:rsidRDefault="009439D5">
      <w:pPr>
        <w:autoSpaceDE w:val="0"/>
        <w:autoSpaceDN w:val="0"/>
        <w:adjustRightInd w:val="0"/>
        <w:spacing w:before="100" w:beforeAutospacing="1" w:after="100" w:afterAutospacing="1" w:line="580" w:lineRule="exact"/>
        <w:ind w:firstLine="600"/>
        <w:jc w:val="center"/>
        <w:rPr>
          <w:rFonts w:ascii="Times New Roman" w:eastAsia="仿宋_GB2312" w:hAnsi="Times New Roman" w:cs="Times New Roman"/>
          <w:b/>
          <w:bCs/>
          <w:sz w:val="36"/>
          <w:szCs w:val="36"/>
        </w:rPr>
      </w:pPr>
      <w:r>
        <w:rPr>
          <w:rFonts w:ascii="Times New Roman" w:eastAsia="仿宋_GB2312" w:hAnsi="Times New Roman" w:cs="Times New Roman"/>
          <w:b/>
          <w:bCs/>
          <w:sz w:val="36"/>
          <w:szCs w:val="36"/>
        </w:rPr>
        <w:t xml:space="preserve"> </w:t>
      </w:r>
    </w:p>
    <w:p w:rsidR="00BE41C7" w:rsidRDefault="009439D5">
      <w:pPr>
        <w:autoSpaceDE w:val="0"/>
        <w:autoSpaceDN w:val="0"/>
        <w:adjustRightInd w:val="0"/>
        <w:spacing w:before="100" w:beforeAutospacing="1" w:after="100" w:afterAutospacing="1" w:line="580" w:lineRule="exact"/>
        <w:ind w:firstLine="600"/>
        <w:jc w:val="center"/>
        <w:rPr>
          <w:rFonts w:ascii="Times New Roman" w:eastAsia="仿宋_GB2312" w:hAnsi="Times New Roman" w:cs="Times New Roman"/>
          <w:b/>
          <w:bCs/>
          <w:sz w:val="36"/>
          <w:szCs w:val="36"/>
        </w:rPr>
      </w:pPr>
      <w:r>
        <w:rPr>
          <w:rFonts w:ascii="Times New Roman" w:eastAsia="仿宋_GB2312" w:hAnsi="Times New Roman" w:cs="Times New Roman"/>
          <w:b/>
          <w:bCs/>
          <w:sz w:val="36"/>
          <w:szCs w:val="36"/>
        </w:rPr>
        <w:t xml:space="preserve"> </w:t>
      </w:r>
    </w:p>
    <w:p w:rsidR="00BE41C7" w:rsidRDefault="009439D5">
      <w:pPr>
        <w:autoSpaceDE w:val="0"/>
        <w:autoSpaceDN w:val="0"/>
        <w:adjustRightInd w:val="0"/>
        <w:spacing w:before="100" w:beforeAutospacing="1" w:after="100" w:afterAutospacing="1"/>
        <w:ind w:firstLine="601"/>
        <w:jc w:val="center"/>
        <w:rPr>
          <w:rFonts w:ascii="Times New Roman" w:eastAsia="仿宋_GB2312" w:hAnsi="Times New Roman" w:cs="Times New Roman"/>
          <w:b/>
          <w:bCs/>
          <w:sz w:val="44"/>
          <w:szCs w:val="44"/>
        </w:rPr>
      </w:pPr>
      <w:r>
        <w:rPr>
          <w:rFonts w:ascii="仿宋_GB2312" w:eastAsia="仿宋_GB2312" w:hAnsi="Times New Roman" w:hint="eastAsia"/>
          <w:b/>
          <w:bCs/>
          <w:sz w:val="44"/>
          <w:szCs w:val="44"/>
        </w:rPr>
        <w:lastRenderedPageBreak/>
        <w:t>目录</w:t>
      </w:r>
    </w:p>
    <w:p w:rsidR="00BE41C7" w:rsidRDefault="009439D5">
      <w:pPr>
        <w:autoSpaceDE w:val="0"/>
        <w:autoSpaceDN w:val="0"/>
        <w:adjustRightInd w:val="0"/>
        <w:spacing w:before="100" w:beforeAutospacing="1" w:after="100" w:afterAutospacing="1"/>
        <w:ind w:firstLine="601"/>
        <w:rPr>
          <w:rFonts w:ascii="Times New Roman" w:eastAsia="仿宋_GB2312" w:hAnsi="Times New Roman" w:cs="Times New Roman"/>
          <w:b/>
          <w:bCs/>
          <w:sz w:val="44"/>
          <w:szCs w:val="44"/>
        </w:rPr>
      </w:pPr>
      <w:r>
        <w:rPr>
          <w:rFonts w:ascii="Times New Roman" w:eastAsia="仿宋_GB2312" w:hAnsi="Times New Roman" w:cs="Times New Roman"/>
          <w:b/>
          <w:bCs/>
          <w:sz w:val="44"/>
          <w:szCs w:val="44"/>
        </w:rPr>
        <w:t xml:space="preserve"> </w:t>
      </w:r>
    </w:p>
    <w:p w:rsidR="00BE41C7" w:rsidRDefault="009439D5">
      <w:pPr>
        <w:autoSpaceDE w:val="0"/>
        <w:autoSpaceDN w:val="0"/>
        <w:adjustRightInd w:val="0"/>
        <w:spacing w:before="100" w:beforeAutospacing="1" w:after="100" w:afterAutospacing="1" w:line="580" w:lineRule="exact"/>
        <w:ind w:firstLine="601"/>
        <w:rPr>
          <w:rFonts w:ascii="Times New Roman" w:eastAsia="黑体" w:hAnsi="Times New Roman" w:cs="Times New Roman"/>
          <w:b/>
          <w:bCs/>
          <w:sz w:val="32"/>
          <w:szCs w:val="32"/>
        </w:rPr>
      </w:pPr>
      <w:r>
        <w:rPr>
          <w:rFonts w:ascii="黑体" w:eastAsia="黑体" w:hAnsi="黑体" w:hint="eastAsia"/>
          <w:b/>
          <w:bCs/>
          <w:sz w:val="32"/>
          <w:szCs w:val="32"/>
        </w:rPr>
        <w:t>第一部分</w:t>
      </w:r>
      <w:r>
        <w:rPr>
          <w:rFonts w:ascii="黑体" w:eastAsia="黑体" w:hAnsi="Times New Roman" w:hint="eastAsia"/>
          <w:b/>
          <w:bCs/>
          <w:sz w:val="32"/>
          <w:szCs w:val="32"/>
        </w:rPr>
        <w:t xml:space="preserve"> </w:t>
      </w:r>
      <w:r>
        <w:rPr>
          <w:rFonts w:ascii="黑体" w:eastAsia="黑体" w:hAnsi="黑体" w:hint="eastAsia"/>
          <w:b/>
          <w:bCs/>
          <w:sz w:val="32"/>
          <w:szCs w:val="32"/>
        </w:rPr>
        <w:t>部门基本情况</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一、部门职责</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二、机构设置</w:t>
      </w:r>
    </w:p>
    <w:p w:rsidR="00BE41C7" w:rsidRDefault="009439D5">
      <w:pPr>
        <w:autoSpaceDE w:val="0"/>
        <w:autoSpaceDN w:val="0"/>
        <w:adjustRightInd w:val="0"/>
        <w:spacing w:before="100" w:beforeAutospacing="1" w:after="100" w:afterAutospacing="1" w:line="580" w:lineRule="exact"/>
        <w:ind w:firstLine="601"/>
        <w:rPr>
          <w:rFonts w:ascii="Times New Roman" w:eastAsia="黑体" w:hAnsi="Times New Roman" w:cs="Times New Roman"/>
          <w:b/>
          <w:bCs/>
          <w:sz w:val="32"/>
          <w:szCs w:val="32"/>
        </w:rPr>
      </w:pPr>
      <w:r>
        <w:rPr>
          <w:rFonts w:ascii="黑体" w:eastAsia="黑体" w:hAnsi="黑体" w:hint="eastAsia"/>
          <w:b/>
          <w:bCs/>
          <w:sz w:val="32"/>
          <w:szCs w:val="32"/>
        </w:rPr>
        <w:t>第二部分</w:t>
      </w:r>
      <w:r>
        <w:rPr>
          <w:rFonts w:ascii="黑体" w:eastAsia="黑体" w:hAnsi="Times New Roman" w:hint="eastAsia"/>
          <w:b/>
          <w:bCs/>
          <w:sz w:val="32"/>
          <w:szCs w:val="32"/>
        </w:rPr>
        <w:t xml:space="preserve"> 2019</w:t>
      </w:r>
      <w:r>
        <w:rPr>
          <w:rFonts w:ascii="黑体" w:eastAsia="黑体" w:hAnsi="黑体" w:hint="eastAsia"/>
          <w:b/>
          <w:bCs/>
          <w:sz w:val="32"/>
          <w:szCs w:val="32"/>
        </w:rPr>
        <w:t>年度部门决算情况说明</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一、关于2019年度预算执行情况分析</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二、关于2019年度决算情况说明</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（一）关于收支情况总体说明</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（二）关于2019年度收入决算情况说明</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（三）关于2019年度支出决算情况说明</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（四）关于2019年度财政拨款收入支出决算总体情况说明</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（五）关于2019年度一般公共预算财政拨款支出决算情况说明</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（六）关于2019年度一般公共预算财政拨款基本支出决算情况说明</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lastRenderedPageBreak/>
        <w:t>（七）关于2019年度财政拨款</w:t>
      </w:r>
      <w:r>
        <w:rPr>
          <w:rFonts w:ascii="Times New Roman" w:eastAsia="仿宋_GB2312" w:hAnsi="Times New Roman" w:cs="Times New Roman"/>
          <w:sz w:val="32"/>
          <w:szCs w:val="32"/>
        </w:rPr>
        <w:t>“</w:t>
      </w:r>
      <w:r>
        <w:rPr>
          <w:rFonts w:ascii="仿宋_GB2312" w:eastAsia="仿宋_GB2312" w:hAnsi="Times New Roman" w:hint="eastAsia"/>
          <w:sz w:val="32"/>
          <w:szCs w:val="32"/>
        </w:rPr>
        <w:t>三公</w:t>
      </w:r>
      <w:r>
        <w:rPr>
          <w:rFonts w:ascii="Times New Roman" w:eastAsia="仿宋_GB2312" w:hAnsi="Times New Roman" w:cs="Times New Roman"/>
          <w:sz w:val="32"/>
          <w:szCs w:val="32"/>
        </w:rPr>
        <w:t>”</w:t>
      </w:r>
      <w:r>
        <w:rPr>
          <w:rFonts w:ascii="仿宋_GB2312" w:eastAsia="仿宋_GB2312" w:hAnsi="Times New Roman" w:hint="eastAsia"/>
          <w:sz w:val="32"/>
          <w:szCs w:val="32"/>
        </w:rPr>
        <w:t>经费支出决算情况说明</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Times New Roman" w:eastAsia="仿宋_GB2312" w:hAnsi="Times New Roman" w:cs="Times New Roman"/>
          <w:sz w:val="32"/>
          <w:szCs w:val="32"/>
        </w:rPr>
        <w:tab/>
      </w:r>
      <w:r>
        <w:rPr>
          <w:rFonts w:ascii="仿宋_GB2312" w:eastAsia="仿宋_GB2312" w:hAnsi="Times New Roman" w:hint="eastAsia"/>
          <w:sz w:val="32"/>
          <w:szCs w:val="32"/>
        </w:rPr>
        <w:t>1、财政拨款</w:t>
      </w:r>
      <w:r>
        <w:rPr>
          <w:rFonts w:ascii="Times New Roman" w:eastAsia="仿宋_GB2312" w:hAnsi="Times New Roman" w:cs="Times New Roman"/>
          <w:sz w:val="32"/>
          <w:szCs w:val="32"/>
        </w:rPr>
        <w:t>“</w:t>
      </w:r>
      <w:r>
        <w:rPr>
          <w:rFonts w:ascii="仿宋_GB2312" w:eastAsia="仿宋_GB2312" w:hAnsi="Times New Roman" w:hint="eastAsia"/>
          <w:sz w:val="32"/>
          <w:szCs w:val="32"/>
        </w:rPr>
        <w:t>三公</w:t>
      </w:r>
      <w:r>
        <w:rPr>
          <w:rFonts w:ascii="Times New Roman" w:eastAsia="仿宋_GB2312" w:hAnsi="Times New Roman" w:cs="Times New Roman"/>
          <w:sz w:val="32"/>
          <w:szCs w:val="32"/>
        </w:rPr>
        <w:t>”</w:t>
      </w:r>
      <w:r>
        <w:rPr>
          <w:rFonts w:ascii="仿宋_GB2312" w:eastAsia="仿宋_GB2312" w:hAnsi="Times New Roman" w:hint="eastAsia"/>
          <w:sz w:val="32"/>
          <w:szCs w:val="32"/>
        </w:rPr>
        <w:t>经费支出决算总体情况说明</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Times New Roman" w:eastAsia="仿宋_GB2312" w:hAnsi="Times New Roman" w:cs="Times New Roman"/>
          <w:sz w:val="32"/>
          <w:szCs w:val="32"/>
        </w:rPr>
        <w:tab/>
      </w:r>
      <w:r>
        <w:rPr>
          <w:rFonts w:ascii="仿宋_GB2312" w:eastAsia="仿宋_GB2312" w:hAnsi="Times New Roman" w:hint="eastAsia"/>
          <w:sz w:val="32"/>
          <w:szCs w:val="32"/>
        </w:rPr>
        <w:t>2、财政拨款</w:t>
      </w:r>
      <w:r>
        <w:rPr>
          <w:rFonts w:ascii="Times New Roman" w:eastAsia="仿宋_GB2312" w:hAnsi="Times New Roman" w:cs="Times New Roman"/>
          <w:sz w:val="32"/>
          <w:szCs w:val="32"/>
        </w:rPr>
        <w:t>“</w:t>
      </w:r>
      <w:r>
        <w:rPr>
          <w:rFonts w:ascii="仿宋_GB2312" w:eastAsia="仿宋_GB2312" w:hAnsi="Times New Roman" w:hint="eastAsia"/>
          <w:sz w:val="32"/>
          <w:szCs w:val="32"/>
        </w:rPr>
        <w:t>三公</w:t>
      </w:r>
      <w:r>
        <w:rPr>
          <w:rFonts w:ascii="Times New Roman" w:eastAsia="仿宋_GB2312" w:hAnsi="Times New Roman" w:cs="Times New Roman"/>
          <w:sz w:val="32"/>
          <w:szCs w:val="32"/>
        </w:rPr>
        <w:t>”</w:t>
      </w:r>
      <w:r>
        <w:rPr>
          <w:rFonts w:ascii="仿宋_GB2312" w:eastAsia="仿宋_GB2312" w:hAnsi="Times New Roman" w:hint="eastAsia"/>
          <w:sz w:val="32"/>
          <w:szCs w:val="32"/>
        </w:rPr>
        <w:t>经费支出决算具体情况说明</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三、预算绩效情况说明</w:t>
      </w:r>
    </w:p>
    <w:p w:rsidR="00BE41C7" w:rsidRDefault="009439D5">
      <w:pPr>
        <w:autoSpaceDE w:val="0"/>
        <w:autoSpaceDN w:val="0"/>
        <w:adjustRightInd w:val="0"/>
        <w:spacing w:before="100" w:beforeAutospacing="1" w:after="100" w:afterAutospacing="1" w:line="580" w:lineRule="exact"/>
        <w:ind w:firstLine="600"/>
        <w:rPr>
          <w:rFonts w:ascii="Times New Roman" w:eastAsia="仿宋_GB2312" w:hAnsi="Times New Roman" w:cs="Times New Roman"/>
          <w:sz w:val="32"/>
          <w:szCs w:val="32"/>
        </w:rPr>
      </w:pPr>
      <w:r>
        <w:rPr>
          <w:rFonts w:ascii="仿宋_GB2312" w:eastAsia="仿宋_GB2312" w:hAnsi="Times New Roman" w:hint="eastAsia"/>
          <w:sz w:val="32"/>
          <w:szCs w:val="32"/>
        </w:rPr>
        <w:t>（一）预算绩效管理工作开展情况</w:t>
      </w:r>
    </w:p>
    <w:p w:rsidR="00BE41C7" w:rsidRDefault="009439D5">
      <w:pPr>
        <w:autoSpaceDE w:val="0"/>
        <w:autoSpaceDN w:val="0"/>
        <w:adjustRightInd w:val="0"/>
        <w:spacing w:before="100" w:beforeAutospacing="1" w:after="100" w:afterAutospacing="1" w:line="580" w:lineRule="exact"/>
        <w:ind w:firstLine="600"/>
        <w:rPr>
          <w:rFonts w:ascii="Times New Roman" w:eastAsia="仿宋_GB2312" w:hAnsi="Times New Roman" w:cs="Times New Roman"/>
          <w:sz w:val="32"/>
          <w:szCs w:val="32"/>
        </w:rPr>
      </w:pPr>
      <w:r>
        <w:rPr>
          <w:rFonts w:ascii="仿宋_GB2312" w:eastAsia="仿宋_GB2312" w:hAnsi="Times New Roman" w:hint="eastAsia"/>
          <w:sz w:val="32"/>
          <w:szCs w:val="32"/>
        </w:rPr>
        <w:t>（二）部门决算中项目绩效自评结果</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四、其他重要事项的情况说明</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（一）机关运行经费支出情况</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（二）政府采购支出情况</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（三）国有资产占用情况</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w:t>
      </w:r>
    </w:p>
    <w:p w:rsidR="00BE41C7" w:rsidRDefault="009439D5">
      <w:pPr>
        <w:autoSpaceDE w:val="0"/>
        <w:autoSpaceDN w:val="0"/>
        <w:adjustRightInd w:val="0"/>
        <w:spacing w:before="100" w:beforeAutospacing="1" w:after="100" w:afterAutospacing="1" w:line="580" w:lineRule="exact"/>
        <w:ind w:firstLine="601"/>
        <w:rPr>
          <w:rFonts w:ascii="Times New Roman" w:eastAsia="黑体" w:hAnsi="Times New Roman" w:cs="Times New Roman"/>
          <w:b/>
          <w:bCs/>
          <w:sz w:val="32"/>
          <w:szCs w:val="32"/>
        </w:rPr>
      </w:pPr>
      <w:r>
        <w:rPr>
          <w:rFonts w:ascii="黑体" w:eastAsia="黑体" w:hAnsi="黑体" w:hint="eastAsia"/>
          <w:b/>
          <w:bCs/>
          <w:sz w:val="32"/>
          <w:szCs w:val="32"/>
        </w:rPr>
        <w:t>第三部分</w:t>
      </w:r>
      <w:r>
        <w:rPr>
          <w:rFonts w:ascii="黑体" w:eastAsia="黑体" w:hAnsi="Times New Roman" w:hint="eastAsia"/>
          <w:b/>
          <w:bCs/>
          <w:sz w:val="32"/>
          <w:szCs w:val="32"/>
        </w:rPr>
        <w:t xml:space="preserve"> </w:t>
      </w:r>
      <w:r>
        <w:rPr>
          <w:rFonts w:ascii="黑体" w:eastAsia="黑体" w:hAnsi="黑体" w:hint="eastAsia"/>
          <w:b/>
          <w:bCs/>
          <w:sz w:val="32"/>
          <w:szCs w:val="32"/>
        </w:rPr>
        <w:t>名词解释</w:t>
      </w:r>
    </w:p>
    <w:p w:rsidR="00BE41C7" w:rsidRDefault="009439D5">
      <w:pPr>
        <w:autoSpaceDE w:val="0"/>
        <w:autoSpaceDN w:val="0"/>
        <w:adjustRightInd w:val="0"/>
        <w:spacing w:before="100" w:beforeAutospacing="1" w:after="100" w:afterAutospacing="1" w:line="580" w:lineRule="exact"/>
        <w:ind w:firstLine="601"/>
        <w:rPr>
          <w:rFonts w:ascii="Times New Roman" w:eastAsia="黑体" w:hAnsi="Times New Roman" w:cs="Times New Roman"/>
          <w:b/>
          <w:bCs/>
          <w:sz w:val="32"/>
          <w:szCs w:val="32"/>
        </w:rPr>
      </w:pPr>
      <w:r>
        <w:rPr>
          <w:rFonts w:ascii="黑体" w:eastAsia="黑体" w:hAnsi="黑体" w:hint="eastAsia"/>
          <w:b/>
          <w:bCs/>
          <w:sz w:val="32"/>
          <w:szCs w:val="32"/>
        </w:rPr>
        <w:t>第四部分</w:t>
      </w:r>
      <w:r>
        <w:rPr>
          <w:rFonts w:ascii="黑体" w:eastAsia="黑体" w:hAnsi="Times New Roman" w:hint="eastAsia"/>
          <w:b/>
          <w:bCs/>
          <w:sz w:val="32"/>
          <w:szCs w:val="32"/>
        </w:rPr>
        <w:t xml:space="preserve"> </w:t>
      </w:r>
      <w:r>
        <w:rPr>
          <w:rFonts w:ascii="黑体" w:eastAsia="黑体" w:hAnsi="黑体" w:hint="eastAsia"/>
          <w:b/>
          <w:bCs/>
          <w:sz w:val="32"/>
          <w:szCs w:val="32"/>
        </w:rPr>
        <w:t>决算公开联系方式及信息反馈渠道</w:t>
      </w:r>
    </w:p>
    <w:p w:rsidR="00BE41C7" w:rsidRDefault="009439D5">
      <w:pPr>
        <w:autoSpaceDE w:val="0"/>
        <w:autoSpaceDN w:val="0"/>
        <w:adjustRightInd w:val="0"/>
        <w:spacing w:before="100" w:beforeAutospacing="1" w:after="100" w:afterAutospacing="1" w:line="580" w:lineRule="exact"/>
        <w:ind w:firstLine="601"/>
        <w:rPr>
          <w:rFonts w:ascii="Times New Roman" w:eastAsia="黑体" w:hAnsi="Times New Roman" w:cs="Times New Roman"/>
          <w:b/>
          <w:bCs/>
          <w:sz w:val="32"/>
          <w:szCs w:val="32"/>
        </w:rPr>
      </w:pPr>
      <w:r>
        <w:rPr>
          <w:rFonts w:ascii="黑体" w:eastAsia="黑体" w:hAnsi="黑体" w:hint="eastAsia"/>
          <w:b/>
          <w:bCs/>
          <w:sz w:val="32"/>
          <w:szCs w:val="32"/>
        </w:rPr>
        <w:t>第五部分</w:t>
      </w:r>
      <w:r>
        <w:rPr>
          <w:rFonts w:ascii="黑体" w:eastAsia="黑体" w:hAnsi="Times New Roman" w:hint="eastAsia"/>
          <w:b/>
          <w:bCs/>
          <w:sz w:val="32"/>
          <w:szCs w:val="32"/>
        </w:rPr>
        <w:t xml:space="preserve"> </w:t>
      </w:r>
      <w:r>
        <w:rPr>
          <w:rFonts w:ascii="黑体" w:eastAsia="黑体" w:hAnsi="黑体" w:hint="eastAsia"/>
          <w:b/>
          <w:bCs/>
          <w:sz w:val="32"/>
          <w:szCs w:val="32"/>
        </w:rPr>
        <w:t>部门决算公开表</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一、收入支出决算总表</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lastRenderedPageBreak/>
        <w:t>二、收入决算表</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三、支出决算表</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四、财政拨款收入支出决算总表</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五、一般公共预算财政拨款支出决算表</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六、一般公共预算财政拨款基本支出决算明细表</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七、政府性基金预算财政拨款收入支出决算表</w:t>
      </w:r>
    </w:p>
    <w:p w:rsidR="00BE41C7" w:rsidRDefault="009439D5">
      <w:pPr>
        <w:autoSpaceDE w:val="0"/>
        <w:autoSpaceDN w:val="0"/>
        <w:adjustRightInd w:val="0"/>
        <w:spacing w:before="100" w:beforeAutospacing="1" w:after="100" w:afterAutospacing="1" w:line="580" w:lineRule="exact"/>
        <w:ind w:firstLine="601"/>
        <w:rPr>
          <w:rFonts w:ascii="Times New Roman" w:eastAsia="仿宋_GB2312" w:hAnsi="Times New Roman" w:cs="Times New Roman"/>
          <w:sz w:val="32"/>
          <w:szCs w:val="32"/>
        </w:rPr>
      </w:pPr>
      <w:r>
        <w:rPr>
          <w:rFonts w:ascii="仿宋_GB2312" w:eastAsia="仿宋_GB2312" w:hAnsi="Times New Roman" w:hint="eastAsia"/>
          <w:sz w:val="32"/>
          <w:szCs w:val="32"/>
        </w:rPr>
        <w:t>八、机构运行信息表</w:t>
      </w:r>
    </w:p>
    <w:p w:rsidR="00BE41C7" w:rsidRDefault="009439D5">
      <w:pPr>
        <w:autoSpaceDE w:val="0"/>
        <w:autoSpaceDN w:val="0"/>
        <w:adjustRightInd w:val="0"/>
        <w:spacing w:before="100" w:beforeAutospacing="1" w:after="100" w:afterAutospacing="1"/>
        <w:ind w:firstLine="601"/>
        <w:rPr>
          <w:rFonts w:ascii="Times New Roman" w:eastAsia="仿宋_GB2312" w:hAnsi="Times New Roman" w:cs="Times New Roman"/>
          <w:b/>
          <w:bCs/>
          <w:sz w:val="44"/>
          <w:szCs w:val="44"/>
        </w:rPr>
      </w:pPr>
      <w:r>
        <w:rPr>
          <w:rFonts w:ascii="Times New Roman" w:eastAsia="仿宋_GB2312" w:hAnsi="Times New Roman" w:cs="Times New Roman"/>
          <w:b/>
          <w:bCs/>
          <w:sz w:val="44"/>
          <w:szCs w:val="44"/>
        </w:rPr>
        <w:t xml:space="preserve"> </w:t>
      </w:r>
    </w:p>
    <w:p w:rsidR="00BE41C7" w:rsidRDefault="009439D5">
      <w:r>
        <w:rPr>
          <w:rFonts w:hint="eastAsia"/>
        </w:rPr>
        <w:t xml:space="preserve">  </w:t>
      </w:r>
    </w:p>
    <w:p w:rsidR="00BE41C7" w:rsidRDefault="009439D5">
      <w:pPr>
        <w:autoSpaceDE w:val="0"/>
        <w:autoSpaceDN w:val="0"/>
        <w:adjustRightInd w:val="0"/>
        <w:spacing w:before="100" w:beforeAutospacing="1" w:after="100" w:afterAutospacing="1" w:line="580" w:lineRule="exact"/>
        <w:ind w:firstLine="600"/>
        <w:rPr>
          <w:rFonts w:ascii="Times New Roman" w:eastAsia="仿宋_GB2312" w:hAnsi="Times New Roman" w:cs="Times New Roman"/>
          <w:sz w:val="32"/>
          <w:szCs w:val="32"/>
        </w:rPr>
      </w:pPr>
      <w:r>
        <w:rPr>
          <w:rFonts w:ascii="仿宋_GB2312" w:eastAsia="仿宋_GB2312" w:hAnsi="Times New Roman" w:hint="eastAsia"/>
          <w:b/>
          <w:bCs/>
          <w:sz w:val="32"/>
          <w:szCs w:val="32"/>
        </w:rPr>
        <w:t>第一部分 部门基本情况</w:t>
      </w:r>
    </w:p>
    <w:p w:rsidR="00BE41C7"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Pr>
          <w:rFonts w:ascii="仿宋_GB2312" w:eastAsia="仿宋_GB2312" w:hAnsi="Times New Roman" w:hint="eastAsia"/>
          <w:color w:val="000000" w:themeColor="text1"/>
          <w:sz w:val="32"/>
          <w:szCs w:val="32"/>
        </w:rPr>
        <w:t>一、部门职责</w:t>
      </w:r>
    </w:p>
    <w:p w:rsidR="00BE41C7" w:rsidRDefault="009439D5">
      <w:pPr>
        <w:autoSpaceDE w:val="0"/>
        <w:autoSpaceDN w:val="0"/>
        <w:adjustRightInd w:val="0"/>
        <w:spacing w:before="100" w:beforeAutospacing="1" w:after="100" w:afterAutospacing="1"/>
        <w:ind w:firstLine="600"/>
        <w:rPr>
          <w:rFonts w:ascii="仿宋" w:eastAsia="仿宋" w:hAnsi="仿宋"/>
          <w:color w:val="000000" w:themeColor="text1"/>
          <w:sz w:val="32"/>
          <w:szCs w:val="32"/>
        </w:rPr>
      </w:pPr>
      <w:r>
        <w:rPr>
          <w:rFonts w:ascii="仿宋" w:eastAsia="仿宋" w:hAnsi="仿宋" w:cs="黑体" w:hint="eastAsia"/>
          <w:color w:val="000000" w:themeColor="text1"/>
          <w:sz w:val="32"/>
          <w:szCs w:val="32"/>
        </w:rPr>
        <w:t>2019</w:t>
      </w:r>
      <w:r>
        <w:rPr>
          <w:rFonts w:ascii="仿宋" w:eastAsia="仿宋" w:hAnsi="仿宋" w:hint="eastAsia"/>
          <w:color w:val="000000" w:themeColor="text1"/>
          <w:sz w:val="32"/>
          <w:szCs w:val="32"/>
        </w:rPr>
        <w:t>年根据《关于应急管理局机构和编制人员转隶的通知》（呼机编发〔</w:t>
      </w:r>
      <w:r>
        <w:rPr>
          <w:rFonts w:ascii="仿宋" w:eastAsia="仿宋" w:hAnsi="仿宋" w:cs="黑体" w:hint="eastAsia"/>
          <w:color w:val="000000" w:themeColor="text1"/>
          <w:sz w:val="32"/>
          <w:szCs w:val="32"/>
        </w:rPr>
        <w:t>2019</w:t>
      </w:r>
      <w:r>
        <w:rPr>
          <w:rFonts w:ascii="仿宋" w:eastAsia="仿宋" w:hAnsi="仿宋" w:hint="eastAsia"/>
          <w:color w:val="000000" w:themeColor="text1"/>
          <w:sz w:val="32"/>
          <w:szCs w:val="32"/>
        </w:rPr>
        <w:t>〕</w:t>
      </w:r>
      <w:r>
        <w:rPr>
          <w:rFonts w:ascii="仿宋" w:eastAsia="仿宋" w:hAnsi="仿宋" w:cs="黑体" w:hint="eastAsia"/>
          <w:color w:val="000000" w:themeColor="text1"/>
          <w:sz w:val="32"/>
          <w:szCs w:val="32"/>
        </w:rPr>
        <w:t>38</w:t>
      </w:r>
      <w:r>
        <w:rPr>
          <w:rFonts w:ascii="仿宋" w:eastAsia="仿宋" w:hAnsi="仿宋" w:hint="eastAsia"/>
          <w:color w:val="000000" w:themeColor="text1"/>
          <w:sz w:val="32"/>
          <w:szCs w:val="32"/>
        </w:rPr>
        <w:t>号）和《呼伦贝尔市应急管理局职能配置、内设机构和人员编制规定的通知》（呼党办发〔</w:t>
      </w:r>
      <w:r>
        <w:rPr>
          <w:rFonts w:ascii="仿宋" w:eastAsia="仿宋" w:hAnsi="仿宋" w:cs="黑体" w:hint="eastAsia"/>
          <w:color w:val="000000" w:themeColor="text1"/>
          <w:sz w:val="32"/>
          <w:szCs w:val="32"/>
        </w:rPr>
        <w:t>2019</w:t>
      </w:r>
      <w:r>
        <w:rPr>
          <w:rFonts w:ascii="仿宋" w:eastAsia="仿宋" w:hAnsi="仿宋" w:hint="eastAsia"/>
          <w:color w:val="000000" w:themeColor="text1"/>
          <w:sz w:val="32"/>
          <w:szCs w:val="32"/>
        </w:rPr>
        <w:t>〕</w:t>
      </w:r>
      <w:r>
        <w:rPr>
          <w:rFonts w:ascii="仿宋" w:eastAsia="仿宋" w:hAnsi="仿宋" w:cs="黑体" w:hint="eastAsia"/>
          <w:color w:val="000000" w:themeColor="text1"/>
          <w:sz w:val="32"/>
          <w:szCs w:val="32"/>
        </w:rPr>
        <w:t>55</w:t>
      </w:r>
      <w:r>
        <w:rPr>
          <w:rFonts w:ascii="仿宋" w:eastAsia="仿宋" w:hAnsi="仿宋" w:hint="eastAsia"/>
          <w:color w:val="000000" w:themeColor="text1"/>
          <w:sz w:val="32"/>
          <w:szCs w:val="32"/>
        </w:rPr>
        <w:t>号）在原安监局基础上组建成立呼伦贝尔市应急管理局，下属三个三级单位。负责全市应急管理工作，指导各地区各部门应对安全生产类、自然类等突发事</w:t>
      </w:r>
      <w:r>
        <w:rPr>
          <w:rFonts w:ascii="仿宋" w:eastAsia="仿宋" w:hAnsi="仿宋" w:hint="eastAsia"/>
          <w:color w:val="000000" w:themeColor="text1"/>
          <w:sz w:val="32"/>
          <w:szCs w:val="32"/>
        </w:rPr>
        <w:lastRenderedPageBreak/>
        <w:t>件和综合防灾减灾救灾等工作的政府职能部门，单位性质为行政单位。</w:t>
      </w:r>
    </w:p>
    <w:p w:rsidR="00BE41C7" w:rsidRDefault="009439D5">
      <w:pPr>
        <w:ind w:firstLineChars="195" w:firstLine="624"/>
        <w:rPr>
          <w:rFonts w:ascii="仿宋" w:eastAsia="仿宋" w:hAnsi="仿宋" w:cs="仿宋_GB2312"/>
          <w:color w:val="000000" w:themeColor="text1"/>
          <w:sz w:val="32"/>
          <w:szCs w:val="32"/>
        </w:rPr>
      </w:pPr>
      <w:r>
        <w:rPr>
          <w:rFonts w:ascii="仿宋" w:eastAsia="仿宋" w:hAnsi="仿宋" w:hint="eastAsia"/>
          <w:color w:val="000000" w:themeColor="text1"/>
          <w:sz w:val="32"/>
          <w:szCs w:val="32"/>
        </w:rPr>
        <w:t>市应急管理局呼伦贝尔经济技术开发区分局为正科级派出机构，职能主要负责呼伦贝尔市经济技术开发区的安全生产监督综合工作，依法承担职责范围内安全生产行政执法等工作。</w:t>
      </w:r>
    </w:p>
    <w:p w:rsidR="00BE41C7" w:rsidRDefault="009439D5" w:rsidP="005E22F0">
      <w:pPr>
        <w:ind w:firstLineChars="200" w:firstLine="640"/>
        <w:rPr>
          <w:rFonts w:ascii="仿宋" w:eastAsia="仿宋" w:hAnsi="仿宋"/>
          <w:color w:val="000000" w:themeColor="text1"/>
          <w:sz w:val="32"/>
          <w:szCs w:val="32"/>
        </w:rPr>
      </w:pPr>
      <w:r>
        <w:rPr>
          <w:rFonts w:ascii="仿宋" w:eastAsia="仿宋" w:hAnsi="仿宋" w:cs="仿宋_GB2312" w:hint="eastAsia"/>
          <w:color w:val="000000" w:themeColor="text1"/>
          <w:sz w:val="32"/>
          <w:szCs w:val="32"/>
        </w:rPr>
        <w:t>2005</w:t>
      </w:r>
      <w:r>
        <w:rPr>
          <w:rFonts w:ascii="仿宋" w:eastAsia="仿宋" w:hAnsi="仿宋" w:hint="eastAsia"/>
          <w:color w:val="000000" w:themeColor="text1"/>
          <w:sz w:val="32"/>
          <w:szCs w:val="32"/>
        </w:rPr>
        <w:t>年，根据呼机编字〔</w:t>
      </w:r>
      <w:r>
        <w:rPr>
          <w:rFonts w:ascii="仿宋" w:eastAsia="仿宋" w:hAnsi="仿宋" w:cs="仿宋_GB2312" w:hint="eastAsia"/>
          <w:color w:val="000000" w:themeColor="text1"/>
          <w:sz w:val="32"/>
          <w:szCs w:val="32"/>
        </w:rPr>
        <w:t>2005</w:t>
      </w:r>
      <w:r>
        <w:rPr>
          <w:rFonts w:ascii="仿宋" w:eastAsia="仿宋" w:hAnsi="仿宋" w:hint="eastAsia"/>
          <w:color w:val="000000" w:themeColor="text1"/>
          <w:sz w:val="32"/>
          <w:szCs w:val="32"/>
        </w:rPr>
        <w:t>〕</w:t>
      </w:r>
      <w:r>
        <w:rPr>
          <w:rFonts w:ascii="仿宋" w:eastAsia="仿宋" w:hAnsi="仿宋" w:cs="仿宋_GB2312" w:hint="eastAsia"/>
          <w:color w:val="000000" w:themeColor="text1"/>
          <w:sz w:val="32"/>
          <w:szCs w:val="32"/>
        </w:rPr>
        <w:t>11</w:t>
      </w:r>
      <w:r>
        <w:rPr>
          <w:rFonts w:ascii="仿宋" w:eastAsia="仿宋" w:hAnsi="仿宋" w:hint="eastAsia"/>
          <w:color w:val="000000" w:themeColor="text1"/>
          <w:sz w:val="32"/>
          <w:szCs w:val="32"/>
        </w:rPr>
        <w:t>号文件、组建成立安全生产监察支队，呼机编〔</w:t>
      </w:r>
      <w:r>
        <w:rPr>
          <w:rFonts w:ascii="仿宋" w:eastAsia="仿宋" w:hAnsi="仿宋" w:cs="仿宋_GB2312" w:hint="eastAsia"/>
          <w:color w:val="000000" w:themeColor="text1"/>
          <w:sz w:val="32"/>
          <w:szCs w:val="32"/>
        </w:rPr>
        <w:t>2009</w:t>
      </w:r>
      <w:r>
        <w:rPr>
          <w:rFonts w:ascii="仿宋" w:eastAsia="仿宋" w:hAnsi="仿宋" w:hint="eastAsia"/>
          <w:color w:val="000000" w:themeColor="text1"/>
          <w:sz w:val="32"/>
          <w:szCs w:val="32"/>
        </w:rPr>
        <w:t>〕</w:t>
      </w:r>
      <w:r>
        <w:rPr>
          <w:rFonts w:ascii="仿宋" w:eastAsia="仿宋" w:hAnsi="仿宋" w:cs="仿宋_GB2312" w:hint="eastAsia"/>
          <w:color w:val="000000" w:themeColor="text1"/>
          <w:sz w:val="32"/>
          <w:szCs w:val="32"/>
        </w:rPr>
        <w:t>80</w:t>
      </w:r>
      <w:r>
        <w:rPr>
          <w:rFonts w:ascii="仿宋" w:eastAsia="仿宋" w:hAnsi="仿宋" w:hint="eastAsia"/>
          <w:color w:val="000000" w:themeColor="text1"/>
          <w:sz w:val="32"/>
          <w:szCs w:val="32"/>
        </w:rPr>
        <w:t>号文件、呼机编发〔</w:t>
      </w:r>
      <w:r>
        <w:rPr>
          <w:rFonts w:ascii="仿宋" w:eastAsia="仿宋" w:hAnsi="仿宋" w:cs="仿宋_GB2312" w:hint="eastAsia"/>
          <w:color w:val="000000" w:themeColor="text1"/>
          <w:sz w:val="32"/>
          <w:szCs w:val="32"/>
        </w:rPr>
        <w:t>2017</w:t>
      </w:r>
      <w:r>
        <w:rPr>
          <w:rFonts w:ascii="仿宋" w:eastAsia="仿宋" w:hAnsi="仿宋" w:hint="eastAsia"/>
          <w:color w:val="000000" w:themeColor="text1"/>
          <w:sz w:val="32"/>
          <w:szCs w:val="32"/>
        </w:rPr>
        <w:t>〕</w:t>
      </w:r>
      <w:r>
        <w:rPr>
          <w:rFonts w:ascii="仿宋" w:eastAsia="仿宋" w:hAnsi="仿宋" w:cs="仿宋_GB2312" w:hint="eastAsia"/>
          <w:color w:val="000000" w:themeColor="text1"/>
          <w:sz w:val="32"/>
          <w:szCs w:val="32"/>
        </w:rPr>
        <w:t>82</w:t>
      </w:r>
      <w:r>
        <w:rPr>
          <w:rFonts w:ascii="仿宋" w:eastAsia="仿宋" w:hAnsi="仿宋" w:hint="eastAsia"/>
          <w:color w:val="000000" w:themeColor="text1"/>
          <w:sz w:val="32"/>
          <w:szCs w:val="32"/>
        </w:rPr>
        <w:t>号文件，单位性质为参公事业单位，主要承担职责为权限内的事故调查、监督检查、安全设施安装、技术服务性工作。</w:t>
      </w:r>
    </w:p>
    <w:p w:rsidR="00BE41C7" w:rsidRPr="005E22F0" w:rsidRDefault="009439D5" w:rsidP="005E22F0">
      <w:pPr>
        <w:ind w:firstLineChars="200" w:firstLine="640"/>
        <w:rPr>
          <w:rFonts w:ascii="仿宋_GB2312" w:eastAsia="仿宋_GB2312" w:hAnsi="仿宋"/>
          <w:color w:val="000000" w:themeColor="text1"/>
          <w:sz w:val="32"/>
          <w:szCs w:val="32"/>
        </w:rPr>
      </w:pPr>
      <w:r w:rsidRPr="005E22F0">
        <w:rPr>
          <w:rFonts w:ascii="仿宋_GB2312" w:eastAsia="仿宋_GB2312" w:hAnsi="仿宋" w:hint="eastAsia"/>
          <w:color w:val="000000" w:themeColor="text1"/>
          <w:sz w:val="32"/>
          <w:szCs w:val="32"/>
        </w:rPr>
        <w:t>呼伦贝尔市地震局为隶属于呼伦贝尔市应急管理局参公事业单位。职责贯彻执行国家、自治区防震减灾工作的方针、政策、法律法规，制定全市地震工作规章制度，规划计划，组织落实，监督检查其执行情况；组织建设全市地震监测网点，核实前兆异常，及时向上级地震部门传递监测资料；组织、协调、指导、监督检查抗震、防震和工程地震工作；承担市抗震救灾指挥机关办事机构的职责，会同有关部门协助市政府编制破坏性地震的应急预案，拟订综合性防御措施，检查监督其落实情况，组织震后现场考察，震灾评估，抗灾救灾工作；宣传普及地震科普知识、抗震防震、防震救灾知识和国家、自治区关于地震工</w:t>
      </w:r>
      <w:r w:rsidRPr="005E22F0">
        <w:rPr>
          <w:rFonts w:ascii="仿宋_GB2312" w:eastAsia="仿宋_GB2312" w:hAnsi="仿宋" w:hint="eastAsia"/>
          <w:color w:val="000000" w:themeColor="text1"/>
          <w:sz w:val="32"/>
          <w:szCs w:val="32"/>
        </w:rPr>
        <w:lastRenderedPageBreak/>
        <w:t>作、抗震救灾工作的方针、政策、法律法规；组织、协调、指导旗市地震工作，负责全市地震工作队伍自身建设。</w:t>
      </w:r>
    </w:p>
    <w:p w:rsidR="00BE41C7" w:rsidRPr="005E22F0" w:rsidRDefault="009439D5" w:rsidP="005E22F0">
      <w:pPr>
        <w:ind w:firstLineChars="200" w:firstLine="640"/>
        <w:rPr>
          <w:rFonts w:ascii="仿宋_GB2312" w:eastAsia="仿宋_GB2312" w:hAnsi="仿宋"/>
          <w:color w:val="000000" w:themeColor="text1"/>
          <w:sz w:val="32"/>
          <w:szCs w:val="32"/>
        </w:rPr>
      </w:pPr>
      <w:r w:rsidRPr="005E22F0">
        <w:rPr>
          <w:rFonts w:ascii="仿宋_GB2312" w:eastAsia="仿宋_GB2312" w:hAnsi="仿宋" w:hint="eastAsia"/>
          <w:color w:val="000000" w:themeColor="text1"/>
          <w:sz w:val="32"/>
          <w:szCs w:val="32"/>
        </w:rPr>
        <w:t>海拉尔航空护林站隶属于呼伦贝尔市林业局的公益性技术服务型、正科级事业单位，负责呼伦贝尔市部分地区的防火、空中巡护、直接灭火和突发事件救护等项工作。</w:t>
      </w:r>
    </w:p>
    <w:p w:rsidR="00BE41C7" w:rsidRPr="005E22F0" w:rsidRDefault="009439D5" w:rsidP="005E22F0">
      <w:pPr>
        <w:ind w:firstLineChars="200" w:firstLine="640"/>
        <w:rPr>
          <w:rFonts w:ascii="仿宋_GB2312" w:eastAsia="仿宋_GB2312" w:hAnsi="仿宋"/>
          <w:color w:val="000000" w:themeColor="text1"/>
          <w:sz w:val="32"/>
          <w:szCs w:val="32"/>
        </w:rPr>
      </w:pPr>
      <w:r w:rsidRPr="005E22F0">
        <w:rPr>
          <w:rFonts w:ascii="仿宋_GB2312" w:eastAsia="仿宋_GB2312" w:hAnsi="仿宋" w:hint="eastAsia"/>
          <w:color w:val="000000" w:themeColor="text1"/>
          <w:sz w:val="32"/>
          <w:szCs w:val="32"/>
        </w:rPr>
        <w:t>扎兰屯航空护林站始建于1988年，1989年正式投入航空护林运营，航站担负着大兴安岭岭南600多万公顷的空中护林消防巡护和直接灭火工作</w:t>
      </w:r>
    </w:p>
    <w:p w:rsidR="00BE41C7" w:rsidRDefault="009439D5">
      <w:pPr>
        <w:autoSpaceDE w:val="0"/>
        <w:autoSpaceDN w:val="0"/>
        <w:adjustRightInd w:val="0"/>
        <w:spacing w:before="100" w:beforeAutospacing="1" w:after="100" w:afterAutospacing="1"/>
        <w:ind w:firstLineChars="100" w:firstLine="320"/>
        <w:rPr>
          <w:rFonts w:ascii="Times New Roman" w:eastAsia="仿宋_GB2312" w:hAnsi="Times New Roman" w:cs="Times New Roman"/>
          <w:color w:val="000000" w:themeColor="text1"/>
          <w:sz w:val="32"/>
          <w:szCs w:val="32"/>
        </w:rPr>
      </w:pPr>
      <w:r>
        <w:rPr>
          <w:rFonts w:ascii="仿宋_GB2312" w:eastAsia="仿宋_GB2312" w:hAnsi="Times New Roman" w:hint="eastAsia"/>
          <w:color w:val="000000" w:themeColor="text1"/>
          <w:sz w:val="32"/>
          <w:szCs w:val="32"/>
        </w:rPr>
        <w:t>二、机构设置</w:t>
      </w:r>
    </w:p>
    <w:p w:rsidR="00BE41C7" w:rsidRDefault="009439D5">
      <w:pPr>
        <w:ind w:firstLineChars="245" w:firstLine="784"/>
        <w:rPr>
          <w:rFonts w:ascii="仿宋" w:eastAsia="仿宋" w:hAnsi="仿宋"/>
          <w:color w:val="000000" w:themeColor="text1"/>
          <w:sz w:val="32"/>
          <w:szCs w:val="32"/>
        </w:rPr>
      </w:pPr>
      <w:r>
        <w:rPr>
          <w:rFonts w:ascii="仿宋" w:eastAsia="仿宋" w:hAnsi="仿宋" w:hint="eastAsia"/>
          <w:color w:val="000000" w:themeColor="text1"/>
          <w:sz w:val="32"/>
          <w:szCs w:val="32"/>
        </w:rPr>
        <w:t>市应急管理局主要职能有十八项，根据工作职能职责设置</w:t>
      </w:r>
      <w:r>
        <w:rPr>
          <w:rFonts w:ascii="仿宋" w:eastAsia="仿宋" w:hAnsi="仿宋" w:cs="黑体" w:hint="eastAsia"/>
          <w:color w:val="000000" w:themeColor="text1"/>
          <w:sz w:val="32"/>
          <w:szCs w:val="32"/>
        </w:rPr>
        <w:t>10</w:t>
      </w:r>
      <w:r>
        <w:rPr>
          <w:rFonts w:ascii="仿宋" w:eastAsia="仿宋" w:hAnsi="仿宋" w:hint="eastAsia"/>
          <w:color w:val="000000" w:themeColor="text1"/>
          <w:sz w:val="32"/>
          <w:szCs w:val="32"/>
        </w:rPr>
        <w:t>个内设机构，即办公室、应急指挥调度中心、风险监测和物资保障科、火灾防治管理科、防汛抗旱和灾害救援科、危险化学品安全监督管理科、安全生产基础监督管理科、法制和综合协调科、煤矿安全监督管理科，行政审批科，设机关党委。</w:t>
      </w:r>
    </w:p>
    <w:p w:rsidR="00BE41C7" w:rsidRDefault="009439D5">
      <w:pPr>
        <w:ind w:firstLineChars="245" w:firstLine="784"/>
        <w:rPr>
          <w:rFonts w:ascii="仿宋" w:eastAsia="仿宋" w:hAnsi="仿宋"/>
          <w:color w:val="000000" w:themeColor="text1"/>
          <w:sz w:val="32"/>
          <w:szCs w:val="32"/>
        </w:rPr>
      </w:pPr>
      <w:r>
        <w:rPr>
          <w:rFonts w:ascii="仿宋" w:eastAsia="仿宋" w:hAnsi="仿宋" w:hint="eastAsia"/>
          <w:color w:val="000000" w:themeColor="text1"/>
          <w:sz w:val="32"/>
          <w:szCs w:val="32"/>
        </w:rPr>
        <w:t>市应急管理局下属呼伦贝尔市地震局、海拉尔航空护林站、扎兰屯航空护林站三个三级单位，</w:t>
      </w:r>
      <w:r>
        <w:rPr>
          <w:rFonts w:ascii="仿宋_GB2312" w:eastAsia="仿宋_GB2312" w:hAnsi="Times New Roman" w:hint="eastAsia"/>
          <w:color w:val="000000" w:themeColor="text1"/>
          <w:sz w:val="32"/>
          <w:szCs w:val="32"/>
        </w:rPr>
        <w:t>行政单位1个，行政人员24人，参照公务员法管理事业单位2个36人，公益一类事业单位2个57人，离休2人，年末实有在职人员117人，离休人员2人，共计119人。</w:t>
      </w:r>
    </w:p>
    <w:p w:rsidR="00BE41C7" w:rsidRDefault="009439D5">
      <w:pPr>
        <w:autoSpaceDE w:val="0"/>
        <w:autoSpaceDN w:val="0"/>
        <w:adjustRightInd w:val="0"/>
        <w:spacing w:before="100" w:beforeAutospacing="1" w:after="100" w:afterAutospacing="1"/>
        <w:ind w:firstLineChars="200" w:firstLine="643"/>
        <w:rPr>
          <w:rFonts w:ascii="Times New Roman" w:eastAsia="仿宋_GB2312" w:hAnsi="Times New Roman" w:cs="Times New Roman"/>
          <w:b/>
          <w:bCs/>
          <w:color w:val="000000" w:themeColor="text1"/>
          <w:sz w:val="32"/>
          <w:szCs w:val="32"/>
        </w:rPr>
      </w:pPr>
      <w:r>
        <w:rPr>
          <w:rFonts w:ascii="仿宋_GB2312" w:eastAsia="仿宋_GB2312" w:hAnsi="Times New Roman" w:hint="eastAsia"/>
          <w:b/>
          <w:bCs/>
          <w:color w:val="000000" w:themeColor="text1"/>
          <w:sz w:val="32"/>
          <w:szCs w:val="32"/>
        </w:rPr>
        <w:lastRenderedPageBreak/>
        <w:t>第二部分 2019年度部门决算情况说明</w:t>
      </w:r>
    </w:p>
    <w:p w:rsidR="00BE41C7" w:rsidRDefault="009439D5">
      <w:pPr>
        <w:pStyle w:val="a8"/>
        <w:numPr>
          <w:ilvl w:val="0"/>
          <w:numId w:val="2"/>
        </w:numPr>
        <w:autoSpaceDE w:val="0"/>
        <w:autoSpaceDN w:val="0"/>
        <w:adjustRightInd w:val="0"/>
        <w:spacing w:before="100" w:beforeAutospacing="1" w:after="100" w:afterAutospacing="1"/>
        <w:ind w:firstLineChars="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关于2019年度预算执行情况分析</w:t>
      </w:r>
    </w:p>
    <w:p w:rsidR="00BE41C7" w:rsidRDefault="009439D5">
      <w:pPr>
        <w:ind w:firstLineChars="200" w:firstLine="640"/>
        <w:rPr>
          <w:rFonts w:ascii="楷体_GB2312" w:eastAsia="楷体_GB2312" w:hAnsi="仿宋"/>
          <w:b/>
          <w:bCs/>
          <w:color w:val="000000" w:themeColor="text1"/>
          <w:sz w:val="32"/>
          <w:szCs w:val="32"/>
        </w:rPr>
      </w:pPr>
      <w:r>
        <w:rPr>
          <w:rFonts w:ascii="仿宋" w:eastAsia="仿宋" w:hAnsi="仿宋" w:hint="eastAsia"/>
          <w:color w:val="000000" w:themeColor="text1"/>
          <w:sz w:val="32"/>
          <w:szCs w:val="32"/>
        </w:rPr>
        <w:t>按照市财政局要求，预算批复后，部门单位做好分月用款计划，预算单位方可支付使用每笔预算资金。及时进行指标对账、计划对账、支出对账，能准确反映预算资金执行情况，提高了预算执行透明度，提高了财政资金使用规范性、安全性和有效性。2019年年初预算2180.26万元，2019年年末财政拨款收入3564.48万元，其他收入5.18万元，上年结转结余840.8万元，收入合计4410.46万元，增加原因为新成立单位，职责职能增加，人员经费增加等原因。</w:t>
      </w:r>
    </w:p>
    <w:p w:rsidR="00BE41C7" w:rsidRDefault="009439D5">
      <w:pPr>
        <w:autoSpaceDE w:val="0"/>
        <w:autoSpaceDN w:val="0"/>
        <w:adjustRightInd w:val="0"/>
        <w:spacing w:before="100" w:beforeAutospacing="1" w:after="100" w:afterAutospacing="1"/>
        <w:ind w:firstLineChars="100" w:firstLine="320"/>
        <w:rPr>
          <w:rFonts w:ascii="Times New Roman" w:eastAsia="仿宋_GB2312" w:hAnsi="Times New Roman" w:cs="Times New Roman"/>
          <w:color w:val="000000" w:themeColor="text1"/>
          <w:sz w:val="32"/>
          <w:szCs w:val="32"/>
        </w:rPr>
      </w:pPr>
      <w:r>
        <w:rPr>
          <w:rFonts w:ascii="仿宋_GB2312" w:eastAsia="仿宋_GB2312" w:hAnsi="Times New Roman" w:hint="eastAsia"/>
          <w:color w:val="000000" w:themeColor="text1"/>
          <w:sz w:val="32"/>
          <w:szCs w:val="32"/>
        </w:rPr>
        <w:t>二、关于2019年度决算情况说明</w:t>
      </w:r>
    </w:p>
    <w:p w:rsidR="00BE41C7" w:rsidRDefault="009439D5">
      <w:pPr>
        <w:autoSpaceDE w:val="0"/>
        <w:autoSpaceDN w:val="0"/>
        <w:adjustRightInd w:val="0"/>
        <w:spacing w:before="100" w:beforeAutospacing="1" w:after="100" w:afterAutospacing="1"/>
        <w:ind w:firstLine="600"/>
        <w:rPr>
          <w:rFonts w:ascii="Times New Roman" w:eastAsia="楷体" w:hAnsi="Times New Roman" w:cs="Times New Roman"/>
          <w:color w:val="000000" w:themeColor="text1"/>
          <w:sz w:val="32"/>
          <w:szCs w:val="32"/>
        </w:rPr>
      </w:pPr>
      <w:r>
        <w:rPr>
          <w:rFonts w:ascii="楷体" w:eastAsia="楷体" w:hAnsi="楷体" w:hint="eastAsia"/>
          <w:color w:val="000000" w:themeColor="text1"/>
          <w:sz w:val="32"/>
          <w:szCs w:val="32"/>
        </w:rPr>
        <w:t>（一）关于收支情况总体说明</w:t>
      </w:r>
    </w:p>
    <w:p w:rsidR="00BE41C7"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Pr>
          <w:rFonts w:ascii="仿宋_GB2312" w:eastAsia="仿宋_GB2312" w:hAnsi="Times New Roman" w:hint="eastAsia"/>
          <w:color w:val="000000" w:themeColor="text1"/>
          <w:sz w:val="32"/>
          <w:szCs w:val="32"/>
        </w:rPr>
        <w:t>本部门2019年度收入总计4,410.46万元，其中：本年收入合计3,569.66万元，用事业基金弥补收支差额0.00万元，年初结转和结余840.80万元；支出总计4,410.46万元，其中：结余分配0.00万元，年末结转和结余771.12万元。与2018年度相比，收入总计增加4,410.46万元，增长100%；支出总计增加4,410.46万元，增长100%。主要原因：一是市应急管理局新成立单位，职责职能增加；二是</w:t>
      </w:r>
      <w:r>
        <w:rPr>
          <w:rFonts w:ascii="仿宋_GB2312" w:eastAsia="仿宋_GB2312" w:hAnsi="Times New Roman" w:hint="eastAsia"/>
          <w:color w:val="000000" w:themeColor="text1"/>
          <w:sz w:val="32"/>
          <w:szCs w:val="32"/>
        </w:rPr>
        <w:lastRenderedPageBreak/>
        <w:t>本年新增呼伦贝尔市地震局、呼伦贝尔市海拉尔航空护林站、扎兰屯航空护林站三家下属单位；三是市应急管理局本年决算数据为汇总数据无上年对比数据。</w:t>
      </w:r>
    </w:p>
    <w:p w:rsidR="00BE41C7" w:rsidRDefault="009439D5">
      <w:pPr>
        <w:autoSpaceDE w:val="0"/>
        <w:autoSpaceDN w:val="0"/>
        <w:adjustRightInd w:val="0"/>
        <w:spacing w:before="100" w:beforeAutospacing="1" w:after="100" w:afterAutospacing="1"/>
        <w:ind w:firstLine="600"/>
        <w:rPr>
          <w:rFonts w:ascii="Times New Roman" w:eastAsia="楷体" w:hAnsi="Times New Roman" w:cs="Times New Roman"/>
          <w:color w:val="000000" w:themeColor="text1"/>
          <w:sz w:val="32"/>
          <w:szCs w:val="32"/>
        </w:rPr>
      </w:pPr>
      <w:r>
        <w:rPr>
          <w:rFonts w:ascii="楷体" w:eastAsia="楷体" w:hAnsi="楷体" w:hint="eastAsia"/>
          <w:color w:val="000000" w:themeColor="text1"/>
          <w:sz w:val="32"/>
          <w:szCs w:val="32"/>
        </w:rPr>
        <w:t>（二）关于</w:t>
      </w:r>
      <w:r>
        <w:rPr>
          <w:rFonts w:ascii="楷体" w:eastAsia="楷体" w:hAnsi="Times New Roman" w:hint="eastAsia"/>
          <w:color w:val="000000" w:themeColor="text1"/>
          <w:sz w:val="32"/>
          <w:szCs w:val="32"/>
        </w:rPr>
        <w:t>2019</w:t>
      </w:r>
      <w:r>
        <w:rPr>
          <w:rFonts w:ascii="楷体" w:eastAsia="楷体" w:hAnsi="楷体" w:hint="eastAsia"/>
          <w:color w:val="000000" w:themeColor="text1"/>
          <w:sz w:val="32"/>
          <w:szCs w:val="32"/>
        </w:rPr>
        <w:t>年度收入决算情况说明</w:t>
      </w:r>
    </w:p>
    <w:p w:rsidR="00BE41C7" w:rsidRDefault="009439D5">
      <w:pPr>
        <w:autoSpaceDE w:val="0"/>
        <w:autoSpaceDN w:val="0"/>
        <w:adjustRightInd w:val="0"/>
        <w:spacing w:before="100" w:beforeAutospacing="1" w:after="100" w:afterAutospacing="1"/>
        <w:ind w:firstLine="60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本部门2019年度收入合计3,569.66万元，其中：财政拨款收入3,564.48万元，占99.90%；事业收入0.00万元，占0.00%；经营收入0.00万元，占0.00%；其他收入5.18万元，占0.10%。</w:t>
      </w:r>
    </w:p>
    <w:p w:rsidR="00BE41C7" w:rsidRDefault="009439D5">
      <w:pPr>
        <w:autoSpaceDE w:val="0"/>
        <w:autoSpaceDN w:val="0"/>
        <w:adjustRightInd w:val="0"/>
        <w:spacing w:before="100" w:beforeAutospacing="1" w:after="100" w:afterAutospacing="1"/>
        <w:ind w:firstLine="600"/>
        <w:rPr>
          <w:rFonts w:ascii="Times New Roman" w:eastAsia="楷体" w:hAnsi="Times New Roman" w:cs="Times New Roman"/>
          <w:color w:val="000000" w:themeColor="text1"/>
          <w:sz w:val="32"/>
          <w:szCs w:val="32"/>
        </w:rPr>
      </w:pPr>
      <w:r>
        <w:rPr>
          <w:rFonts w:ascii="楷体" w:eastAsia="楷体" w:hAnsi="楷体" w:hint="eastAsia"/>
          <w:color w:val="000000" w:themeColor="text1"/>
          <w:sz w:val="32"/>
          <w:szCs w:val="32"/>
        </w:rPr>
        <w:t>（三）关于</w:t>
      </w:r>
      <w:r>
        <w:rPr>
          <w:rFonts w:ascii="楷体" w:eastAsia="楷体" w:hAnsi="Times New Roman" w:hint="eastAsia"/>
          <w:color w:val="000000" w:themeColor="text1"/>
          <w:sz w:val="32"/>
          <w:szCs w:val="32"/>
        </w:rPr>
        <w:t>2019</w:t>
      </w:r>
      <w:r>
        <w:rPr>
          <w:rFonts w:ascii="楷体" w:eastAsia="楷体" w:hAnsi="楷体" w:hint="eastAsia"/>
          <w:color w:val="000000" w:themeColor="text1"/>
          <w:sz w:val="32"/>
          <w:szCs w:val="32"/>
        </w:rPr>
        <w:t>年度支出决算情况说明</w:t>
      </w:r>
    </w:p>
    <w:p w:rsidR="00BE41C7" w:rsidRDefault="009439D5">
      <w:pPr>
        <w:autoSpaceDE w:val="0"/>
        <w:autoSpaceDN w:val="0"/>
        <w:adjustRightInd w:val="0"/>
        <w:spacing w:before="100" w:beforeAutospacing="1" w:after="100" w:afterAutospacing="1"/>
        <w:ind w:firstLine="60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本部门2019年度支出合计3,639.34万元，其中：基本支出2,058.09万元，占56.60%；项目支出1,581.25万元，占43.40%；经营支出0.00万元，占0.00%。</w:t>
      </w:r>
    </w:p>
    <w:p w:rsidR="00BE41C7" w:rsidRDefault="009439D5">
      <w:pPr>
        <w:autoSpaceDE w:val="0"/>
        <w:autoSpaceDN w:val="0"/>
        <w:adjustRightInd w:val="0"/>
        <w:spacing w:before="100" w:beforeAutospacing="1" w:after="100" w:afterAutospacing="1"/>
        <w:ind w:firstLine="600"/>
        <w:rPr>
          <w:rFonts w:ascii="Times New Roman" w:eastAsia="楷体" w:hAnsi="Times New Roman" w:cs="Times New Roman"/>
          <w:color w:val="000000" w:themeColor="text1"/>
          <w:sz w:val="32"/>
          <w:szCs w:val="32"/>
        </w:rPr>
      </w:pPr>
      <w:r>
        <w:rPr>
          <w:rFonts w:ascii="楷体" w:eastAsia="楷体" w:hAnsi="楷体" w:hint="eastAsia"/>
          <w:color w:val="000000" w:themeColor="text1"/>
          <w:sz w:val="32"/>
          <w:szCs w:val="32"/>
        </w:rPr>
        <w:t>（四）关于</w:t>
      </w:r>
      <w:r>
        <w:rPr>
          <w:rFonts w:ascii="楷体" w:eastAsia="楷体" w:hAnsi="Times New Roman" w:hint="eastAsia"/>
          <w:color w:val="000000" w:themeColor="text1"/>
          <w:sz w:val="32"/>
          <w:szCs w:val="32"/>
        </w:rPr>
        <w:t>2019</w:t>
      </w:r>
      <w:r>
        <w:rPr>
          <w:rFonts w:ascii="楷体" w:eastAsia="楷体" w:hAnsi="楷体" w:hint="eastAsia"/>
          <w:color w:val="000000" w:themeColor="text1"/>
          <w:sz w:val="32"/>
          <w:szCs w:val="32"/>
        </w:rPr>
        <w:t>年度财政拨款收入支出决算总体情况说明</w:t>
      </w:r>
    </w:p>
    <w:p w:rsidR="00BE41C7"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Pr>
          <w:rFonts w:ascii="仿宋_GB2312" w:eastAsia="仿宋_GB2312" w:hAnsi="Times New Roman" w:hint="eastAsia"/>
          <w:color w:val="000000" w:themeColor="text1"/>
          <w:sz w:val="32"/>
          <w:szCs w:val="32"/>
        </w:rPr>
        <w:t>本部门2019年度财政拨款收入总计4,345.92万元，其中：年初结转和结余781.43万元；支出总计4,345.92万元，其中：年末结转和结余728.69万元。与2018年度相比，收入增加4,345.92万元，增长100%；支出增加4,345.92万元，增长100%。主要原因：一是市应急管理局</w:t>
      </w:r>
      <w:r>
        <w:rPr>
          <w:rFonts w:ascii="仿宋_GB2312" w:eastAsia="仿宋_GB2312" w:hAnsi="Times New Roman" w:hint="eastAsia"/>
          <w:color w:val="000000" w:themeColor="text1"/>
          <w:sz w:val="32"/>
          <w:szCs w:val="32"/>
        </w:rPr>
        <w:lastRenderedPageBreak/>
        <w:t>是新成立单位职责职能增加；新增呼伦贝尔市地震局、呼伦贝尔市海拉尔航空护林站、扎兰屯航空护林站三家下属单位；三是市应急管理局本年决算数据为汇总数据无上年对比数据。</w:t>
      </w:r>
    </w:p>
    <w:p w:rsidR="00BE41C7" w:rsidRDefault="009439D5">
      <w:pPr>
        <w:autoSpaceDE w:val="0"/>
        <w:autoSpaceDN w:val="0"/>
        <w:adjustRightInd w:val="0"/>
        <w:spacing w:before="100" w:beforeAutospacing="1" w:after="100" w:afterAutospacing="1"/>
        <w:ind w:firstLine="600"/>
        <w:rPr>
          <w:rFonts w:ascii="Times New Roman" w:eastAsia="楷体" w:hAnsi="Times New Roman" w:cs="Times New Roman"/>
          <w:color w:val="000000" w:themeColor="text1"/>
          <w:sz w:val="32"/>
          <w:szCs w:val="32"/>
        </w:rPr>
      </w:pPr>
      <w:r>
        <w:rPr>
          <w:rFonts w:ascii="楷体" w:eastAsia="楷体" w:hAnsi="楷体" w:hint="eastAsia"/>
          <w:color w:val="000000" w:themeColor="text1"/>
          <w:sz w:val="32"/>
          <w:szCs w:val="32"/>
        </w:rPr>
        <w:t>（五）关于</w:t>
      </w:r>
      <w:r>
        <w:rPr>
          <w:rFonts w:ascii="楷体" w:eastAsia="楷体" w:hAnsi="Times New Roman" w:hint="eastAsia"/>
          <w:color w:val="000000" w:themeColor="text1"/>
          <w:sz w:val="32"/>
          <w:szCs w:val="32"/>
        </w:rPr>
        <w:t>2019</w:t>
      </w:r>
      <w:r>
        <w:rPr>
          <w:rFonts w:ascii="楷体" w:eastAsia="楷体" w:hAnsi="楷体" w:hint="eastAsia"/>
          <w:color w:val="000000" w:themeColor="text1"/>
          <w:sz w:val="32"/>
          <w:szCs w:val="32"/>
        </w:rPr>
        <w:t>年度一般公共预算财政拨款支出决算情况说明</w:t>
      </w:r>
    </w:p>
    <w:p w:rsidR="00BE41C7"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Pr>
          <w:rFonts w:ascii="仿宋_GB2312" w:eastAsia="仿宋_GB2312" w:hAnsi="Times New Roman" w:hint="eastAsia"/>
          <w:color w:val="000000" w:themeColor="text1"/>
          <w:sz w:val="32"/>
          <w:szCs w:val="32"/>
        </w:rPr>
        <w:t>本部门2019年度一般公共预算财政拨款支出合计3,617.23万元，其中：基本支出2,050.05万元，占56.70%；项目支出1,567.18万元，占43.30%。</w:t>
      </w:r>
    </w:p>
    <w:p w:rsidR="00BE41C7" w:rsidRDefault="009439D5">
      <w:pPr>
        <w:autoSpaceDE w:val="0"/>
        <w:autoSpaceDN w:val="0"/>
        <w:adjustRightInd w:val="0"/>
        <w:spacing w:before="100" w:beforeAutospacing="1" w:after="100" w:afterAutospacing="1"/>
        <w:ind w:firstLine="600"/>
        <w:rPr>
          <w:rFonts w:ascii="Times New Roman" w:eastAsia="楷体" w:hAnsi="Times New Roman" w:cs="Times New Roman"/>
          <w:color w:val="000000" w:themeColor="text1"/>
          <w:sz w:val="32"/>
          <w:szCs w:val="32"/>
        </w:rPr>
      </w:pPr>
      <w:r>
        <w:rPr>
          <w:rFonts w:ascii="楷体" w:eastAsia="楷体" w:hAnsi="楷体" w:hint="eastAsia"/>
          <w:color w:val="000000" w:themeColor="text1"/>
          <w:sz w:val="32"/>
          <w:szCs w:val="32"/>
        </w:rPr>
        <w:t>（六）关于</w:t>
      </w:r>
      <w:r>
        <w:rPr>
          <w:rFonts w:ascii="楷体" w:eastAsia="楷体" w:hAnsi="Times New Roman" w:hint="eastAsia"/>
          <w:color w:val="000000" w:themeColor="text1"/>
          <w:sz w:val="32"/>
          <w:szCs w:val="32"/>
        </w:rPr>
        <w:t>2019</w:t>
      </w:r>
      <w:r>
        <w:rPr>
          <w:rFonts w:ascii="楷体" w:eastAsia="楷体" w:hAnsi="楷体" w:hint="eastAsia"/>
          <w:color w:val="000000" w:themeColor="text1"/>
          <w:sz w:val="32"/>
          <w:szCs w:val="32"/>
        </w:rPr>
        <w:t>年度一般公共预算财政拨款基本支出决算情况说明</w:t>
      </w:r>
    </w:p>
    <w:p w:rsidR="00BE41C7"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Pr>
          <w:rFonts w:ascii="仿宋_GB2312" w:eastAsia="仿宋_GB2312" w:hAnsi="Times New Roman" w:hint="eastAsia"/>
          <w:color w:val="000000" w:themeColor="text1"/>
          <w:sz w:val="32"/>
          <w:szCs w:val="32"/>
        </w:rPr>
        <w:t>本部门2019年度一般公共预算财政拨款基本支出2,050.05万元，其中：人员经费1,721.96万元，主要包括：基本工资、津贴补贴、奖金、社会保障缴费，较上年增加1,721.96万元，主要原因是：市应急管理局是新成立单位和汇总下属三家单位决算数据无上年对比数据；公用经费328.09万元，主要包括：办公费、印刷费、咨询费、手续费费、差旅费、物业费、培训费、劳务费、公务用车运行维护费、其他交通费，较上年增加328.09万元，主要</w:t>
      </w:r>
      <w:r>
        <w:rPr>
          <w:rFonts w:ascii="仿宋_GB2312" w:eastAsia="仿宋_GB2312" w:hAnsi="Times New Roman" w:hint="eastAsia"/>
          <w:color w:val="000000" w:themeColor="text1"/>
          <w:sz w:val="32"/>
          <w:szCs w:val="32"/>
        </w:rPr>
        <w:lastRenderedPageBreak/>
        <w:t>原因是：市应急管理局是新成立单位和汇总下属三家单位决算数据无上年对比数据。</w:t>
      </w:r>
    </w:p>
    <w:p w:rsidR="00BE41C7" w:rsidRDefault="009439D5">
      <w:pPr>
        <w:autoSpaceDE w:val="0"/>
        <w:autoSpaceDN w:val="0"/>
        <w:adjustRightInd w:val="0"/>
        <w:spacing w:before="100" w:beforeAutospacing="1" w:after="100" w:afterAutospacing="1"/>
        <w:ind w:firstLine="600"/>
        <w:rPr>
          <w:rFonts w:ascii="Times New Roman" w:eastAsia="楷体" w:hAnsi="Times New Roman" w:cs="Times New Roman"/>
          <w:color w:val="000000" w:themeColor="text1"/>
          <w:sz w:val="32"/>
          <w:szCs w:val="32"/>
        </w:rPr>
      </w:pPr>
      <w:r>
        <w:rPr>
          <w:rFonts w:ascii="楷体" w:eastAsia="楷体" w:hAnsi="楷体" w:hint="eastAsia"/>
          <w:color w:val="000000" w:themeColor="text1"/>
          <w:sz w:val="32"/>
          <w:szCs w:val="32"/>
        </w:rPr>
        <w:t>（七）关于</w:t>
      </w:r>
      <w:r>
        <w:rPr>
          <w:rFonts w:ascii="楷体" w:eastAsia="楷体" w:hAnsi="Times New Roman" w:hint="eastAsia"/>
          <w:color w:val="000000" w:themeColor="text1"/>
          <w:sz w:val="32"/>
          <w:szCs w:val="32"/>
        </w:rPr>
        <w:t>2019</w:t>
      </w:r>
      <w:r>
        <w:rPr>
          <w:rFonts w:ascii="楷体" w:eastAsia="楷体" w:hAnsi="楷体" w:hint="eastAsia"/>
          <w:color w:val="000000" w:themeColor="text1"/>
          <w:sz w:val="32"/>
          <w:szCs w:val="32"/>
        </w:rPr>
        <w:t>年度财政拨款</w:t>
      </w:r>
      <w:r>
        <w:rPr>
          <w:rFonts w:ascii="Times New Roman" w:eastAsia="楷体" w:hAnsi="Times New Roman" w:cs="Times New Roman"/>
          <w:color w:val="000000" w:themeColor="text1"/>
          <w:sz w:val="32"/>
          <w:szCs w:val="32"/>
        </w:rPr>
        <w:t>“</w:t>
      </w:r>
      <w:r>
        <w:rPr>
          <w:rFonts w:ascii="楷体" w:eastAsia="楷体" w:hAnsi="楷体" w:hint="eastAsia"/>
          <w:color w:val="000000" w:themeColor="text1"/>
          <w:sz w:val="32"/>
          <w:szCs w:val="32"/>
        </w:rPr>
        <w:t>三公</w:t>
      </w:r>
      <w:r>
        <w:rPr>
          <w:rFonts w:ascii="Times New Roman" w:eastAsia="楷体" w:hAnsi="Times New Roman" w:cs="Times New Roman"/>
          <w:color w:val="000000" w:themeColor="text1"/>
          <w:sz w:val="32"/>
          <w:szCs w:val="32"/>
        </w:rPr>
        <w:t>”</w:t>
      </w:r>
      <w:r>
        <w:rPr>
          <w:rFonts w:ascii="楷体" w:eastAsia="楷体" w:hAnsi="楷体" w:hint="eastAsia"/>
          <w:color w:val="000000" w:themeColor="text1"/>
          <w:sz w:val="32"/>
          <w:szCs w:val="32"/>
        </w:rPr>
        <w:t>经费支出决算情况说明</w:t>
      </w:r>
    </w:p>
    <w:p w:rsidR="00BE41C7"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Pr>
          <w:rFonts w:ascii="仿宋_GB2312" w:eastAsia="仿宋_GB2312" w:hAnsi="Times New Roman" w:hint="eastAsia"/>
          <w:color w:val="000000" w:themeColor="text1"/>
          <w:sz w:val="32"/>
          <w:szCs w:val="32"/>
        </w:rPr>
        <w:t>1、财政拨款</w:t>
      </w:r>
      <w:r>
        <w:rPr>
          <w:rFonts w:ascii="Times New Roman" w:eastAsia="仿宋_GB2312" w:hAnsi="Times New Roman" w:cs="Times New Roman"/>
          <w:color w:val="000000" w:themeColor="text1"/>
          <w:sz w:val="32"/>
          <w:szCs w:val="32"/>
        </w:rPr>
        <w:t>“</w:t>
      </w:r>
      <w:r>
        <w:rPr>
          <w:rFonts w:ascii="仿宋_GB2312" w:eastAsia="仿宋_GB2312" w:hAnsi="Times New Roman" w:hint="eastAsia"/>
          <w:color w:val="000000" w:themeColor="text1"/>
          <w:sz w:val="32"/>
          <w:szCs w:val="32"/>
        </w:rPr>
        <w:t>三公</w:t>
      </w:r>
      <w:r>
        <w:rPr>
          <w:rFonts w:ascii="Times New Roman" w:eastAsia="仿宋_GB2312" w:hAnsi="Times New Roman" w:cs="Times New Roman"/>
          <w:color w:val="000000" w:themeColor="text1"/>
          <w:sz w:val="32"/>
          <w:szCs w:val="32"/>
        </w:rPr>
        <w:t>”</w:t>
      </w:r>
      <w:r>
        <w:rPr>
          <w:rFonts w:ascii="仿宋_GB2312" w:eastAsia="仿宋_GB2312" w:hAnsi="Times New Roman" w:hint="eastAsia"/>
          <w:color w:val="000000" w:themeColor="text1"/>
          <w:sz w:val="32"/>
          <w:szCs w:val="32"/>
        </w:rPr>
        <w:t>经费支出决算总体情况说明</w:t>
      </w:r>
    </w:p>
    <w:p w:rsidR="00BE41C7" w:rsidRDefault="009439D5">
      <w:pPr>
        <w:autoSpaceDE w:val="0"/>
        <w:autoSpaceDN w:val="0"/>
        <w:adjustRightInd w:val="0"/>
        <w:spacing w:before="100" w:beforeAutospacing="1" w:after="100" w:afterAutospacing="1"/>
        <w:ind w:firstLine="60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本部门2019年度财政拨款</w:t>
      </w:r>
      <w:r>
        <w:rPr>
          <w:rFonts w:ascii="Times New Roman" w:eastAsia="仿宋_GB2312" w:hAnsi="Times New Roman" w:cs="Times New Roman"/>
          <w:color w:val="000000" w:themeColor="text1"/>
          <w:sz w:val="32"/>
          <w:szCs w:val="32"/>
        </w:rPr>
        <w:t>“</w:t>
      </w:r>
      <w:r>
        <w:rPr>
          <w:rFonts w:ascii="仿宋_GB2312" w:eastAsia="仿宋_GB2312" w:hAnsi="Times New Roman" w:hint="eastAsia"/>
          <w:color w:val="000000" w:themeColor="text1"/>
          <w:sz w:val="32"/>
          <w:szCs w:val="32"/>
        </w:rPr>
        <w:t>三公</w:t>
      </w:r>
      <w:r>
        <w:rPr>
          <w:rFonts w:ascii="Times New Roman" w:eastAsia="仿宋_GB2312" w:hAnsi="Times New Roman" w:cs="Times New Roman"/>
          <w:color w:val="000000" w:themeColor="text1"/>
          <w:sz w:val="32"/>
          <w:szCs w:val="32"/>
        </w:rPr>
        <w:t>”</w:t>
      </w:r>
      <w:r>
        <w:rPr>
          <w:rFonts w:ascii="仿宋_GB2312" w:eastAsia="仿宋_GB2312" w:hAnsi="Times New Roman" w:hint="eastAsia"/>
          <w:color w:val="000000" w:themeColor="text1"/>
          <w:sz w:val="32"/>
          <w:szCs w:val="32"/>
        </w:rPr>
        <w:t>经费预算为245.24万元，支出决算为230.05万元，完成预算的93.80%，其中：因公出国（境）费预算为0.00万元，支出决算为0.00万元，完成预算的0.00%；公务用车购置及运行维护费预算为236.14万元，支出决算为225.37万元，完成预算的95.40%；公务接待费预算为9.10万元，支出决算为4.68万元，完成预算的51.40%。2019年度财政拨款</w:t>
      </w:r>
      <w:r>
        <w:rPr>
          <w:rFonts w:ascii="Times New Roman" w:eastAsia="仿宋_GB2312" w:hAnsi="Times New Roman" w:cs="Times New Roman"/>
          <w:color w:val="000000" w:themeColor="text1"/>
          <w:sz w:val="32"/>
          <w:szCs w:val="32"/>
        </w:rPr>
        <w:t>“</w:t>
      </w:r>
      <w:r>
        <w:rPr>
          <w:rFonts w:ascii="仿宋_GB2312" w:eastAsia="仿宋_GB2312" w:hAnsi="Times New Roman" w:hint="eastAsia"/>
          <w:color w:val="000000" w:themeColor="text1"/>
          <w:sz w:val="32"/>
          <w:szCs w:val="32"/>
        </w:rPr>
        <w:t>三公</w:t>
      </w:r>
      <w:r>
        <w:rPr>
          <w:rFonts w:ascii="Times New Roman" w:eastAsia="仿宋_GB2312" w:hAnsi="Times New Roman" w:cs="Times New Roman"/>
          <w:color w:val="000000" w:themeColor="text1"/>
          <w:sz w:val="32"/>
          <w:szCs w:val="32"/>
        </w:rPr>
        <w:t>”</w:t>
      </w:r>
      <w:r>
        <w:rPr>
          <w:rFonts w:ascii="仿宋_GB2312" w:eastAsia="仿宋_GB2312" w:hAnsi="Times New Roman" w:hint="eastAsia"/>
          <w:color w:val="000000" w:themeColor="text1"/>
          <w:sz w:val="32"/>
          <w:szCs w:val="32"/>
        </w:rPr>
        <w:t>经费支出决算与预算差异情况的原因：一是按年初</w:t>
      </w:r>
      <w:r>
        <w:rPr>
          <w:rFonts w:ascii="Times New Roman" w:eastAsia="仿宋_GB2312" w:hAnsi="Times New Roman" w:cs="Times New Roman"/>
          <w:color w:val="000000" w:themeColor="text1"/>
          <w:sz w:val="32"/>
          <w:szCs w:val="32"/>
        </w:rPr>
        <w:t>“</w:t>
      </w:r>
      <w:r>
        <w:rPr>
          <w:rFonts w:ascii="仿宋_GB2312" w:eastAsia="仿宋_GB2312" w:hAnsi="Times New Roman" w:hint="eastAsia"/>
          <w:color w:val="000000" w:themeColor="text1"/>
          <w:sz w:val="32"/>
          <w:szCs w:val="32"/>
        </w:rPr>
        <w:t>三公</w:t>
      </w:r>
      <w:r>
        <w:rPr>
          <w:rFonts w:ascii="Times New Roman" w:eastAsia="仿宋_GB2312" w:hAnsi="Times New Roman" w:cs="Times New Roman"/>
          <w:color w:val="000000" w:themeColor="text1"/>
          <w:sz w:val="32"/>
          <w:szCs w:val="32"/>
        </w:rPr>
        <w:t>”</w:t>
      </w:r>
      <w:r>
        <w:rPr>
          <w:rFonts w:ascii="仿宋_GB2312" w:eastAsia="仿宋_GB2312" w:hAnsi="Times New Roman" w:hint="eastAsia"/>
          <w:color w:val="000000" w:themeColor="text1"/>
          <w:sz w:val="32"/>
          <w:szCs w:val="32"/>
        </w:rPr>
        <w:t>经费安排本年支出；二是按照规定压缩本年</w:t>
      </w:r>
      <w:r>
        <w:rPr>
          <w:rFonts w:ascii="Times New Roman" w:eastAsia="仿宋_GB2312" w:hAnsi="Times New Roman" w:cs="Times New Roman"/>
          <w:color w:val="000000" w:themeColor="text1"/>
          <w:sz w:val="32"/>
          <w:szCs w:val="32"/>
        </w:rPr>
        <w:t>“</w:t>
      </w:r>
      <w:r>
        <w:rPr>
          <w:rFonts w:ascii="仿宋_GB2312" w:eastAsia="仿宋_GB2312" w:hAnsi="Times New Roman" w:hint="eastAsia"/>
          <w:color w:val="000000" w:themeColor="text1"/>
          <w:sz w:val="32"/>
          <w:szCs w:val="32"/>
        </w:rPr>
        <w:t>三公</w:t>
      </w:r>
      <w:r>
        <w:rPr>
          <w:rFonts w:ascii="Times New Roman" w:eastAsia="仿宋_GB2312" w:hAnsi="Times New Roman" w:cs="Times New Roman"/>
          <w:color w:val="000000" w:themeColor="text1"/>
          <w:sz w:val="32"/>
          <w:szCs w:val="32"/>
        </w:rPr>
        <w:t>”</w:t>
      </w:r>
      <w:r>
        <w:rPr>
          <w:rFonts w:ascii="仿宋_GB2312" w:eastAsia="仿宋_GB2312" w:hAnsi="Times New Roman" w:hint="eastAsia"/>
          <w:color w:val="000000" w:themeColor="text1"/>
          <w:sz w:val="32"/>
          <w:szCs w:val="32"/>
        </w:rPr>
        <w:t>经费。</w:t>
      </w:r>
    </w:p>
    <w:p w:rsidR="00BE41C7"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Pr>
          <w:rFonts w:ascii="仿宋_GB2312" w:eastAsia="仿宋_GB2312" w:hAnsi="Times New Roman" w:hint="eastAsia"/>
          <w:color w:val="000000" w:themeColor="text1"/>
          <w:sz w:val="32"/>
          <w:szCs w:val="32"/>
        </w:rPr>
        <w:t>2、财政拨款</w:t>
      </w:r>
      <w:r>
        <w:rPr>
          <w:rFonts w:ascii="Times New Roman" w:eastAsia="仿宋_GB2312" w:hAnsi="Times New Roman" w:cs="Times New Roman"/>
          <w:color w:val="000000" w:themeColor="text1"/>
          <w:sz w:val="32"/>
          <w:szCs w:val="32"/>
        </w:rPr>
        <w:t>“</w:t>
      </w:r>
      <w:r>
        <w:rPr>
          <w:rFonts w:ascii="仿宋_GB2312" w:eastAsia="仿宋_GB2312" w:hAnsi="Times New Roman" w:hint="eastAsia"/>
          <w:color w:val="000000" w:themeColor="text1"/>
          <w:sz w:val="32"/>
          <w:szCs w:val="32"/>
        </w:rPr>
        <w:t>三公</w:t>
      </w:r>
      <w:r>
        <w:rPr>
          <w:rFonts w:ascii="Times New Roman" w:eastAsia="仿宋_GB2312" w:hAnsi="Times New Roman" w:cs="Times New Roman"/>
          <w:color w:val="000000" w:themeColor="text1"/>
          <w:sz w:val="32"/>
          <w:szCs w:val="32"/>
        </w:rPr>
        <w:t>”</w:t>
      </w:r>
      <w:r>
        <w:rPr>
          <w:rFonts w:ascii="仿宋_GB2312" w:eastAsia="仿宋_GB2312" w:hAnsi="Times New Roman" w:hint="eastAsia"/>
          <w:color w:val="000000" w:themeColor="text1"/>
          <w:sz w:val="32"/>
          <w:szCs w:val="32"/>
        </w:rPr>
        <w:t>经费支出决算具体情况说明</w:t>
      </w:r>
    </w:p>
    <w:p w:rsidR="00BE41C7"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Pr>
          <w:rFonts w:ascii="仿宋_GB2312" w:eastAsia="仿宋_GB2312" w:hAnsi="Times New Roman" w:hint="eastAsia"/>
          <w:color w:val="000000" w:themeColor="text1"/>
          <w:sz w:val="32"/>
          <w:szCs w:val="32"/>
        </w:rPr>
        <w:t>本部门2019年度财政拨款</w:t>
      </w:r>
      <w:r>
        <w:rPr>
          <w:rFonts w:ascii="Times New Roman" w:eastAsia="仿宋_GB2312" w:hAnsi="Times New Roman" w:cs="Times New Roman"/>
          <w:color w:val="000000" w:themeColor="text1"/>
          <w:sz w:val="32"/>
          <w:szCs w:val="32"/>
        </w:rPr>
        <w:t>“</w:t>
      </w:r>
      <w:r>
        <w:rPr>
          <w:rFonts w:ascii="仿宋_GB2312" w:eastAsia="仿宋_GB2312" w:hAnsi="Times New Roman" w:hint="eastAsia"/>
          <w:color w:val="000000" w:themeColor="text1"/>
          <w:sz w:val="32"/>
          <w:szCs w:val="32"/>
        </w:rPr>
        <w:t>三公</w:t>
      </w:r>
      <w:r>
        <w:rPr>
          <w:rFonts w:ascii="Times New Roman" w:eastAsia="仿宋_GB2312" w:hAnsi="Times New Roman" w:cs="Times New Roman"/>
          <w:color w:val="000000" w:themeColor="text1"/>
          <w:sz w:val="32"/>
          <w:szCs w:val="32"/>
        </w:rPr>
        <w:t>”</w:t>
      </w:r>
      <w:r>
        <w:rPr>
          <w:rFonts w:ascii="仿宋_GB2312" w:eastAsia="仿宋_GB2312" w:hAnsi="Times New Roman" w:hint="eastAsia"/>
          <w:color w:val="000000" w:themeColor="text1"/>
          <w:sz w:val="32"/>
          <w:szCs w:val="32"/>
        </w:rPr>
        <w:t>经费支出230.05万元，因公出国（境）费支出0.00万元，占0.00%；公务用车购置及运行维护费支出225.37万元，占98.00%；公务接待费支出4.68万元，占2.00%。具体情况如下：</w:t>
      </w:r>
    </w:p>
    <w:p w:rsidR="00BE41C7"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Pr>
          <w:rFonts w:ascii="仿宋_GB2312" w:eastAsia="仿宋_GB2312" w:hAnsi="Times New Roman" w:hint="eastAsia"/>
          <w:b/>
          <w:bCs/>
          <w:color w:val="000000" w:themeColor="text1"/>
          <w:sz w:val="32"/>
          <w:szCs w:val="32"/>
        </w:rPr>
        <w:lastRenderedPageBreak/>
        <w:t>因公出国（境）费支出</w:t>
      </w:r>
      <w:r>
        <w:rPr>
          <w:rFonts w:ascii="仿宋_GB2312" w:eastAsia="仿宋_GB2312" w:hAnsi="Times New Roman" w:hint="eastAsia"/>
          <w:color w:val="000000" w:themeColor="text1"/>
          <w:sz w:val="32"/>
          <w:szCs w:val="32"/>
        </w:rPr>
        <w:t>0.00万元。全年因公出国（境）团组0个，累计0人次。较上年增加</w:t>
      </w:r>
      <w:r w:rsidR="00111BB3">
        <w:rPr>
          <w:rFonts w:ascii="仿宋_GB2312" w:eastAsia="仿宋_GB2312" w:hAnsi="Times New Roman" w:hint="eastAsia"/>
          <w:color w:val="000000" w:themeColor="text1"/>
          <w:sz w:val="32"/>
          <w:szCs w:val="32"/>
        </w:rPr>
        <w:t>0</w:t>
      </w:r>
      <w:r>
        <w:rPr>
          <w:rFonts w:ascii="仿宋_GB2312" w:eastAsia="仿宋_GB2312" w:hAnsi="Times New Roman" w:hint="eastAsia"/>
          <w:color w:val="000000" w:themeColor="text1"/>
          <w:sz w:val="32"/>
          <w:szCs w:val="32"/>
        </w:rPr>
        <w:t>万元，</w:t>
      </w:r>
      <w:bookmarkStart w:id="0" w:name="_GoBack"/>
      <w:bookmarkEnd w:id="0"/>
      <w:r>
        <w:rPr>
          <w:rFonts w:ascii="仿宋_GB2312" w:eastAsia="仿宋_GB2312" w:hAnsi="Times New Roman" w:hint="eastAsia"/>
          <w:color w:val="000000" w:themeColor="text1"/>
          <w:sz w:val="32"/>
          <w:szCs w:val="32"/>
        </w:rPr>
        <w:t>主要原因是本年未发生。</w:t>
      </w:r>
    </w:p>
    <w:p w:rsidR="00BE41C7" w:rsidRDefault="009439D5">
      <w:pPr>
        <w:autoSpaceDE w:val="0"/>
        <w:autoSpaceDN w:val="0"/>
        <w:adjustRightInd w:val="0"/>
        <w:spacing w:before="100" w:beforeAutospacing="1" w:after="100" w:afterAutospacing="1"/>
        <w:ind w:firstLine="600"/>
        <w:rPr>
          <w:rFonts w:ascii="仿宋_GB2312" w:eastAsia="仿宋_GB2312" w:hAnsi="Times New Roman"/>
          <w:color w:val="000000" w:themeColor="text1"/>
          <w:sz w:val="32"/>
          <w:szCs w:val="32"/>
        </w:rPr>
      </w:pPr>
      <w:r>
        <w:rPr>
          <w:rFonts w:ascii="仿宋_GB2312" w:eastAsia="仿宋_GB2312" w:hAnsi="Times New Roman" w:hint="eastAsia"/>
          <w:b/>
          <w:bCs/>
          <w:color w:val="000000" w:themeColor="text1"/>
          <w:sz w:val="32"/>
          <w:szCs w:val="32"/>
        </w:rPr>
        <w:t>公务用车购置及运行维护费支出</w:t>
      </w:r>
      <w:r>
        <w:rPr>
          <w:rFonts w:ascii="仿宋_GB2312" w:eastAsia="仿宋_GB2312" w:hAnsi="Times New Roman" w:hint="eastAsia"/>
          <w:color w:val="000000" w:themeColor="text1"/>
          <w:sz w:val="32"/>
          <w:szCs w:val="32"/>
        </w:rPr>
        <w:t>225.37万元。其中：公务用车购置支出165.36万元，用于是购置应急救援指挥车支出，车均购置费165.40万元，较上年增加165.36万元，主要原因是上年无车辆购置。公务用车运行维护费支出60.01万元，用于车辆运行及维护费，车均运维费2.31万元，较上年增加60.01万元，主要原因是新成立单位需汇总下级三家单位决算数据无上年对比数据，财政拨款开支的公务用车保有量为26辆。</w:t>
      </w:r>
    </w:p>
    <w:p w:rsidR="00BE41C7" w:rsidRDefault="009439D5">
      <w:pPr>
        <w:autoSpaceDE w:val="0"/>
        <w:autoSpaceDN w:val="0"/>
        <w:adjustRightInd w:val="0"/>
        <w:spacing w:before="100" w:beforeAutospacing="1" w:after="100" w:afterAutospacing="1"/>
        <w:ind w:firstLine="600"/>
        <w:rPr>
          <w:rFonts w:ascii="仿宋_GB2312" w:eastAsia="仿宋_GB2312" w:hAnsi="Times New Roman"/>
          <w:color w:val="000000" w:themeColor="text1"/>
          <w:sz w:val="32"/>
          <w:szCs w:val="32"/>
        </w:rPr>
      </w:pPr>
      <w:r>
        <w:rPr>
          <w:rFonts w:ascii="仿宋_GB2312" w:eastAsia="仿宋_GB2312" w:hAnsi="Times New Roman" w:hint="eastAsia"/>
          <w:b/>
          <w:bCs/>
          <w:color w:val="000000" w:themeColor="text1"/>
          <w:sz w:val="32"/>
          <w:szCs w:val="32"/>
        </w:rPr>
        <w:t>公务接待费支出</w:t>
      </w:r>
      <w:r>
        <w:rPr>
          <w:rFonts w:ascii="仿宋_GB2312" w:eastAsia="仿宋_GB2312" w:hAnsi="Times New Roman" w:hint="eastAsia"/>
          <w:color w:val="000000" w:themeColor="text1"/>
          <w:sz w:val="32"/>
          <w:szCs w:val="32"/>
        </w:rPr>
        <w:t>4.68万元。其中：国内公务接待费4.68万元，接待189批次，共接待547人次。主要用于接待上级单位检查工作。国（境）外接待费0.00万元，接待0批次，共接待0人次。较上年增加4.68万元，主要原因是新成立单位需汇总下级三家单位决算数据无上年对比数据。</w:t>
      </w:r>
    </w:p>
    <w:p w:rsidR="00BE41C7"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Pr>
          <w:rFonts w:ascii="仿宋_GB2312" w:eastAsia="仿宋_GB2312" w:hAnsi="Times New Roman" w:hint="eastAsia"/>
          <w:color w:val="000000" w:themeColor="text1"/>
          <w:sz w:val="32"/>
          <w:szCs w:val="32"/>
        </w:rPr>
        <w:t>三、预算绩效情况说明</w:t>
      </w:r>
    </w:p>
    <w:p w:rsidR="00BE41C7"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Pr>
          <w:rFonts w:ascii="仿宋_GB2312" w:eastAsia="仿宋_GB2312" w:hAnsi="Times New Roman" w:hint="eastAsia"/>
          <w:color w:val="000000" w:themeColor="text1"/>
          <w:sz w:val="32"/>
          <w:szCs w:val="32"/>
        </w:rPr>
        <w:t>（一）预算绩效管理工作开展情况</w:t>
      </w:r>
    </w:p>
    <w:p w:rsidR="00BE41C7" w:rsidRDefault="009439D5">
      <w:pPr>
        <w:ind w:firstLineChars="200" w:firstLine="640"/>
        <w:rPr>
          <w:rFonts w:ascii="仿宋_GB2312" w:eastAsia="仿宋_GB2312"/>
          <w:color w:val="000000" w:themeColor="text1"/>
          <w:sz w:val="32"/>
          <w:szCs w:val="32"/>
        </w:rPr>
      </w:pPr>
      <w:r>
        <w:rPr>
          <w:rFonts w:ascii="仿宋_GB2312" w:eastAsia="仿宋_GB2312" w:hAnsi="Times New Roman" w:hint="eastAsia"/>
          <w:color w:val="000000" w:themeColor="text1"/>
          <w:sz w:val="32"/>
          <w:szCs w:val="32"/>
        </w:rPr>
        <w:t>2019年绩效评价2个项目，</w:t>
      </w:r>
      <w:r>
        <w:rPr>
          <w:rFonts w:ascii="仿宋_GB2312" w:eastAsia="仿宋_GB2312" w:hint="eastAsia"/>
          <w:color w:val="000000" w:themeColor="text1"/>
          <w:sz w:val="32"/>
          <w:szCs w:val="32"/>
        </w:rPr>
        <w:t>应急救援指挥车及装备器材317</w:t>
      </w:r>
      <w:r w:rsidR="003F02F4">
        <w:rPr>
          <w:rFonts w:ascii="仿宋_GB2312" w:eastAsia="仿宋_GB2312" w:hint="eastAsia"/>
          <w:color w:val="000000" w:themeColor="text1"/>
          <w:sz w:val="32"/>
          <w:szCs w:val="32"/>
        </w:rPr>
        <w:t>万,本年度</w:t>
      </w:r>
      <w:r w:rsidR="003F02F4">
        <w:rPr>
          <w:rFonts w:ascii="仿宋_GB2312" w:eastAsia="仿宋_GB2312"/>
          <w:color w:val="000000" w:themeColor="text1"/>
          <w:sz w:val="32"/>
          <w:szCs w:val="32"/>
        </w:rPr>
        <w:t>已完成政府采购程序，按合同</w:t>
      </w:r>
      <w:r w:rsidR="003F02F4">
        <w:rPr>
          <w:rFonts w:ascii="仿宋_GB2312" w:eastAsia="仿宋_GB2312" w:hint="eastAsia"/>
          <w:color w:val="000000" w:themeColor="text1"/>
          <w:sz w:val="32"/>
          <w:szCs w:val="32"/>
        </w:rPr>
        <w:t>付款60</w:t>
      </w:r>
      <w:r w:rsidR="003F02F4">
        <w:rPr>
          <w:rFonts w:ascii="仿宋_GB2312" w:eastAsia="仿宋_GB2312"/>
          <w:color w:val="000000" w:themeColor="text1"/>
          <w:sz w:val="32"/>
          <w:szCs w:val="32"/>
        </w:rPr>
        <w:t>%</w:t>
      </w:r>
      <w:r w:rsidR="003F02F4">
        <w:rPr>
          <w:rFonts w:ascii="仿宋_GB2312" w:eastAsia="仿宋_GB2312" w:hint="eastAsia"/>
          <w:color w:val="000000" w:themeColor="text1"/>
          <w:sz w:val="32"/>
          <w:szCs w:val="32"/>
        </w:rPr>
        <w:t>，</w:t>
      </w:r>
      <w:r w:rsidR="003F02F4">
        <w:rPr>
          <w:rFonts w:ascii="仿宋_GB2312" w:eastAsia="仿宋_GB2312"/>
          <w:color w:val="000000" w:themeColor="text1"/>
          <w:sz w:val="32"/>
          <w:szCs w:val="32"/>
        </w:rPr>
        <w:lastRenderedPageBreak/>
        <w:t>其余资金按合同2020年</w:t>
      </w:r>
      <w:r w:rsidR="003F02F4">
        <w:rPr>
          <w:rFonts w:ascii="仿宋_GB2312" w:eastAsia="仿宋_GB2312" w:hint="eastAsia"/>
          <w:color w:val="000000" w:themeColor="text1"/>
          <w:sz w:val="32"/>
          <w:szCs w:val="32"/>
        </w:rPr>
        <w:t>验收后</w:t>
      </w:r>
      <w:r w:rsidR="003F02F4">
        <w:rPr>
          <w:rFonts w:ascii="仿宋_GB2312" w:eastAsia="仿宋_GB2312"/>
          <w:color w:val="000000" w:themeColor="text1"/>
          <w:sz w:val="32"/>
          <w:szCs w:val="32"/>
        </w:rPr>
        <w:t>付款。</w:t>
      </w:r>
      <w:r>
        <w:rPr>
          <w:rFonts w:ascii="仿宋_GB2312" w:eastAsia="仿宋_GB2312" w:hint="eastAsia"/>
          <w:color w:val="000000" w:themeColor="text1"/>
          <w:sz w:val="32"/>
          <w:szCs w:val="32"/>
        </w:rPr>
        <w:t>安全生产常规检查专家会诊经费189</w:t>
      </w:r>
      <w:r w:rsidR="003F02F4">
        <w:rPr>
          <w:rFonts w:ascii="仿宋_GB2312" w:eastAsia="仿宋_GB2312" w:hint="eastAsia"/>
          <w:color w:val="000000" w:themeColor="text1"/>
          <w:sz w:val="32"/>
          <w:szCs w:val="32"/>
        </w:rPr>
        <w:t>万，</w:t>
      </w:r>
      <w:r w:rsidR="003F02F4">
        <w:rPr>
          <w:rFonts w:ascii="仿宋_GB2312" w:eastAsia="仿宋_GB2312"/>
          <w:color w:val="000000" w:themeColor="text1"/>
          <w:sz w:val="32"/>
          <w:szCs w:val="32"/>
        </w:rPr>
        <w:t>本年已完成政府采购</w:t>
      </w:r>
      <w:r w:rsidR="003F02F4">
        <w:rPr>
          <w:rFonts w:ascii="仿宋_GB2312" w:eastAsia="仿宋_GB2312" w:hint="eastAsia"/>
          <w:color w:val="000000" w:themeColor="text1"/>
          <w:sz w:val="32"/>
          <w:szCs w:val="32"/>
        </w:rPr>
        <w:t>项目。</w:t>
      </w:r>
    </w:p>
    <w:p w:rsidR="00CD03A6" w:rsidRDefault="009439D5" w:rsidP="00CD03A6">
      <w:pPr>
        <w:autoSpaceDE w:val="0"/>
        <w:autoSpaceDN w:val="0"/>
        <w:adjustRightInd w:val="0"/>
        <w:spacing w:before="100" w:beforeAutospacing="1" w:after="100" w:afterAutospacing="1"/>
        <w:ind w:firstLine="600"/>
        <w:rPr>
          <w:rFonts w:ascii="仿宋_GB2312" w:eastAsia="仿宋_GB2312" w:hAnsi="Times New Roman"/>
          <w:sz w:val="32"/>
          <w:szCs w:val="32"/>
        </w:rPr>
      </w:pPr>
      <w:r w:rsidRPr="001C1A54">
        <w:rPr>
          <w:rFonts w:ascii="仿宋_GB2312" w:eastAsia="仿宋_GB2312" w:hAnsi="Times New Roman" w:hint="eastAsia"/>
          <w:sz w:val="32"/>
          <w:szCs w:val="32"/>
        </w:rPr>
        <w:t>（二）部门决算中项目绩效自评结果</w:t>
      </w:r>
    </w:p>
    <w:p w:rsidR="002226A5" w:rsidRDefault="002226A5" w:rsidP="002226A5">
      <w:pPr>
        <w:autoSpaceDE w:val="0"/>
        <w:autoSpaceDN w:val="0"/>
        <w:adjustRightInd w:val="0"/>
        <w:spacing w:before="100" w:beforeAutospacing="1" w:after="100" w:afterAutospacing="1"/>
        <w:ind w:firstLineChars="150" w:firstLine="480"/>
        <w:rPr>
          <w:rFonts w:ascii="仿宋_GB2312" w:eastAsia="仿宋_GB2312" w:hAnsi="Times New Roman"/>
          <w:sz w:val="32"/>
          <w:szCs w:val="32"/>
        </w:rPr>
      </w:pPr>
      <w:r>
        <w:rPr>
          <w:rFonts w:ascii="仿宋_GB2312" w:eastAsia="仿宋_GB2312" w:hAnsi="Times New Roman"/>
          <w:sz w:val="32"/>
          <w:szCs w:val="32"/>
        </w:rPr>
        <w:t>1.</w:t>
      </w:r>
      <w:r w:rsidRPr="002226A5">
        <w:rPr>
          <w:rFonts w:ascii="仿宋_GB2312" w:eastAsia="仿宋_GB2312" w:hint="eastAsia"/>
          <w:sz w:val="32"/>
          <w:szCs w:val="32"/>
        </w:rPr>
        <w:t xml:space="preserve"> </w:t>
      </w:r>
      <w:r w:rsidRPr="008B1D05">
        <w:rPr>
          <w:rFonts w:ascii="仿宋_GB2312" w:eastAsia="仿宋_GB2312" w:hint="eastAsia"/>
          <w:sz w:val="32"/>
          <w:szCs w:val="32"/>
        </w:rPr>
        <w:t>应急救援指挥车及装备器材</w:t>
      </w:r>
      <w:r>
        <w:rPr>
          <w:rFonts w:ascii="仿宋_GB2312" w:eastAsia="仿宋_GB2312" w:hint="eastAsia"/>
          <w:sz w:val="32"/>
          <w:szCs w:val="32"/>
        </w:rPr>
        <w:t>项目</w:t>
      </w:r>
      <w:r>
        <w:rPr>
          <w:rFonts w:hint="eastAsia"/>
          <w:sz w:val="18"/>
          <w:szCs w:val="18"/>
        </w:rPr>
        <w:t>：</w:t>
      </w:r>
      <w:r w:rsidRPr="008B1D05">
        <w:rPr>
          <w:rFonts w:ascii="仿宋_GB2312" w:eastAsia="仿宋_GB2312" w:hint="eastAsia"/>
          <w:sz w:val="32"/>
          <w:szCs w:val="32"/>
        </w:rPr>
        <w:t>：</w:t>
      </w:r>
      <w:r>
        <w:rPr>
          <w:rFonts w:ascii="仿宋_GB2312" w:eastAsia="仿宋_GB2312" w:hint="eastAsia"/>
          <w:sz w:val="32"/>
          <w:szCs w:val="32"/>
        </w:rPr>
        <w:t>根据当前安全生产监管工作需要，市应急管理</w:t>
      </w:r>
      <w:r w:rsidRPr="008B1D05">
        <w:rPr>
          <w:rFonts w:ascii="仿宋_GB2312" w:eastAsia="仿宋_GB2312" w:hint="eastAsia"/>
          <w:sz w:val="32"/>
          <w:szCs w:val="32"/>
        </w:rPr>
        <w:t>局急需配备应急救援指挥车辆及执法人员个人执法、防护用品、应急指挥器材</w:t>
      </w:r>
    </w:p>
    <w:p w:rsidR="00AF5C31" w:rsidRDefault="002226A5" w:rsidP="00A367D5">
      <w:pPr>
        <w:autoSpaceDE w:val="0"/>
        <w:autoSpaceDN w:val="0"/>
        <w:adjustRightInd w:val="0"/>
        <w:spacing w:before="100" w:beforeAutospacing="1" w:after="100" w:afterAutospacing="1"/>
        <w:rPr>
          <w:rFonts w:ascii="仿宋_GB2312" w:eastAsia="仿宋_GB2312" w:hAnsi="Times New Roman"/>
          <w:sz w:val="32"/>
          <w:szCs w:val="32"/>
        </w:rPr>
      </w:pPr>
      <w:r>
        <w:rPr>
          <w:rFonts w:ascii="仿宋_GB2312" w:eastAsia="仿宋_GB2312" w:hAnsi="Times New Roman"/>
          <w:sz w:val="32"/>
          <w:szCs w:val="32"/>
        </w:rPr>
        <w:object w:dxaOrig="9264" w:dyaOrig="2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2.85pt;height:126pt" o:ole="">
            <v:imagedata r:id="rId8" o:title=""/>
          </v:shape>
          <o:OLEObject Type="Embed" ProgID="Excel.Sheet.12" ShapeID="_x0000_i1025" DrawAspect="Content" ObjectID="_1660996234" r:id="rId9"/>
        </w:object>
      </w:r>
    </w:p>
    <w:p w:rsidR="002226A5" w:rsidRPr="008B1D05" w:rsidRDefault="002226A5" w:rsidP="002226A5">
      <w:pPr>
        <w:ind w:firstLineChars="150" w:firstLine="480"/>
        <w:rPr>
          <w:rFonts w:ascii="仿宋_GB2312" w:eastAsia="仿宋_GB2312"/>
          <w:sz w:val="32"/>
          <w:szCs w:val="32"/>
        </w:rPr>
      </w:pPr>
      <w:r>
        <w:rPr>
          <w:rFonts w:ascii="仿宋_GB2312" w:eastAsia="仿宋_GB2312" w:hAnsi="Times New Roman"/>
          <w:sz w:val="32"/>
          <w:szCs w:val="32"/>
        </w:rPr>
        <w:t>2</w:t>
      </w:r>
      <w:r>
        <w:rPr>
          <w:rFonts w:ascii="仿宋_GB2312" w:eastAsia="仿宋_GB2312" w:hAnsi="Times New Roman" w:hint="eastAsia"/>
          <w:sz w:val="32"/>
          <w:szCs w:val="32"/>
        </w:rPr>
        <w:t>、</w:t>
      </w:r>
      <w:r>
        <w:rPr>
          <w:rFonts w:ascii="仿宋_GB2312" w:eastAsia="仿宋_GB2312" w:hAnsi="Times New Roman"/>
          <w:sz w:val="32"/>
          <w:szCs w:val="32"/>
        </w:rPr>
        <w:t>安全生产常规检查专家会诊经费</w:t>
      </w:r>
      <w:r>
        <w:rPr>
          <w:rFonts w:ascii="仿宋_GB2312" w:eastAsia="仿宋_GB2312" w:hAnsi="Times New Roman" w:hint="eastAsia"/>
          <w:sz w:val="32"/>
          <w:szCs w:val="32"/>
        </w:rPr>
        <w:t>项目</w:t>
      </w:r>
      <w:r>
        <w:rPr>
          <w:rFonts w:ascii="仿宋_GB2312" w:eastAsia="仿宋_GB2312" w:hAnsi="Times New Roman"/>
          <w:sz w:val="32"/>
          <w:szCs w:val="32"/>
        </w:rPr>
        <w:t>：</w:t>
      </w:r>
      <w:r w:rsidRPr="008B1D05">
        <w:rPr>
          <w:rFonts w:ascii="仿宋_GB2312" w:eastAsia="仿宋_GB2312" w:hint="eastAsia"/>
          <w:sz w:val="32"/>
          <w:szCs w:val="32"/>
        </w:rPr>
        <w:t>依据呼伦贝尔市人民政府办公厅印发《呼伦贝尔市安全生产专家管理办法》，一、对非煤矿山、危化、工贸87家企业采取购买服务的方式，招标河北福道注册安全工程师事务所有限公司和北京中矿基业安全防范技术有限公司进行安全生产技术服务。此项工作对安全生产风险分级管控、隐患排查治理起到非常重要的作用。</w:t>
      </w:r>
    </w:p>
    <w:p w:rsidR="008B1D05" w:rsidRPr="002226A5" w:rsidRDefault="008B1D05" w:rsidP="008B1D05">
      <w:pPr>
        <w:rPr>
          <w:rFonts w:ascii="仿宋_GB2312" w:eastAsia="仿宋_GB2312"/>
          <w:sz w:val="32"/>
          <w:szCs w:val="32"/>
        </w:rPr>
      </w:pPr>
    </w:p>
    <w:p w:rsidR="008B1D05" w:rsidRPr="008B1D05" w:rsidRDefault="008B1D05" w:rsidP="008B1D05">
      <w:pPr>
        <w:rPr>
          <w:rFonts w:ascii="仿宋_GB2312" w:eastAsia="仿宋_GB2312"/>
          <w:sz w:val="32"/>
          <w:szCs w:val="32"/>
        </w:rPr>
      </w:pPr>
    </w:p>
    <w:p w:rsidR="008B1D05" w:rsidRPr="00B0591A" w:rsidRDefault="008B1D05" w:rsidP="008B1D05">
      <w:pPr>
        <w:autoSpaceDE w:val="0"/>
        <w:autoSpaceDN w:val="0"/>
        <w:adjustRightInd w:val="0"/>
        <w:spacing w:before="100" w:beforeAutospacing="1" w:after="100" w:afterAutospacing="1"/>
        <w:rPr>
          <w:rFonts w:ascii="仿宋_GB2312" w:eastAsia="仿宋_GB2312" w:hAnsi="Times New Roman"/>
          <w:sz w:val="32"/>
          <w:szCs w:val="32"/>
        </w:rPr>
      </w:pPr>
    </w:p>
    <w:p w:rsidR="00CD03A6" w:rsidRDefault="002226A5" w:rsidP="00CD03A6">
      <w:pPr>
        <w:autoSpaceDE w:val="0"/>
        <w:autoSpaceDN w:val="0"/>
        <w:adjustRightInd w:val="0"/>
        <w:spacing w:before="100" w:beforeAutospacing="1" w:after="100" w:afterAutospacing="1"/>
        <w:ind w:firstLine="600"/>
        <w:rPr>
          <w:rFonts w:ascii="仿宋_GB2312" w:eastAsia="仿宋_GB2312" w:hAnsi="Times New Roman"/>
          <w:sz w:val="32"/>
          <w:szCs w:val="32"/>
        </w:rPr>
      </w:pPr>
      <w:r>
        <w:rPr>
          <w:rFonts w:ascii="仿宋_GB2312" w:eastAsia="仿宋_GB2312" w:hAnsi="Times New Roman"/>
          <w:sz w:val="32"/>
          <w:szCs w:val="32"/>
        </w:rPr>
        <w:object w:dxaOrig="7563" w:dyaOrig="5161">
          <v:shape id="_x0000_i1026" type="#_x0000_t75" style="width:378pt;height:181.7pt" o:ole="">
            <v:imagedata r:id="rId10" o:title=""/>
          </v:shape>
          <o:OLEObject Type="Embed" ProgID="Excel.Sheet.12" ShapeID="_x0000_i1026" DrawAspect="Content" ObjectID="_1660996235" r:id="rId11"/>
        </w:object>
      </w:r>
    </w:p>
    <w:p w:rsidR="00BE41C7" w:rsidRPr="00CD03A6" w:rsidRDefault="009439D5" w:rsidP="00CD03A6">
      <w:pPr>
        <w:autoSpaceDE w:val="0"/>
        <w:autoSpaceDN w:val="0"/>
        <w:adjustRightInd w:val="0"/>
        <w:spacing w:before="100" w:beforeAutospacing="1" w:after="100" w:afterAutospacing="1"/>
        <w:ind w:firstLine="600"/>
        <w:rPr>
          <w:rFonts w:ascii="仿宋_GB2312" w:eastAsia="仿宋_GB2312" w:hAnsi="Times New Roman"/>
          <w:sz w:val="32"/>
          <w:szCs w:val="32"/>
        </w:rPr>
      </w:pPr>
      <w:r>
        <w:rPr>
          <w:rFonts w:ascii="仿宋_GB2312" w:eastAsia="仿宋_GB2312" w:hAnsi="Times New Roman" w:hint="eastAsia"/>
          <w:sz w:val="32"/>
          <w:szCs w:val="32"/>
        </w:rPr>
        <w:t>四、其他重要事项的情况说明</w:t>
      </w:r>
    </w:p>
    <w:p w:rsidR="00BE41C7" w:rsidRDefault="009439D5">
      <w:pPr>
        <w:autoSpaceDE w:val="0"/>
        <w:autoSpaceDN w:val="0"/>
        <w:adjustRightInd w:val="0"/>
        <w:spacing w:before="100" w:beforeAutospacing="1" w:after="100" w:afterAutospacing="1"/>
        <w:ind w:firstLine="600"/>
        <w:rPr>
          <w:rFonts w:ascii="Times New Roman" w:eastAsia="仿宋_GB2312" w:hAnsi="Times New Roman" w:cs="Times New Roman"/>
          <w:sz w:val="32"/>
          <w:szCs w:val="32"/>
        </w:rPr>
      </w:pPr>
      <w:r>
        <w:rPr>
          <w:rFonts w:ascii="仿宋_GB2312" w:eastAsia="仿宋_GB2312" w:hAnsi="Times New Roman" w:hint="eastAsia"/>
          <w:sz w:val="32"/>
          <w:szCs w:val="32"/>
        </w:rPr>
        <w:t>（一）机关运行经费支出情况</w:t>
      </w:r>
    </w:p>
    <w:p w:rsidR="00BE41C7" w:rsidRPr="001C1A54" w:rsidRDefault="009439D5">
      <w:pPr>
        <w:autoSpaceDE w:val="0"/>
        <w:autoSpaceDN w:val="0"/>
        <w:adjustRightInd w:val="0"/>
        <w:spacing w:before="100" w:beforeAutospacing="1" w:after="100" w:afterAutospacing="1"/>
        <w:ind w:firstLine="600"/>
        <w:rPr>
          <w:rFonts w:ascii="仿宋_GB2312" w:eastAsia="仿宋_GB2312" w:hAnsi="Times New Roman"/>
          <w:color w:val="000000" w:themeColor="text1"/>
          <w:sz w:val="32"/>
          <w:szCs w:val="32"/>
        </w:rPr>
      </w:pPr>
      <w:r w:rsidRPr="001C1A54">
        <w:rPr>
          <w:rFonts w:ascii="仿宋_GB2312" w:eastAsia="仿宋_GB2312" w:hAnsi="Times New Roman" w:hint="eastAsia"/>
          <w:color w:val="000000" w:themeColor="text1"/>
          <w:sz w:val="32"/>
          <w:szCs w:val="32"/>
        </w:rPr>
        <w:t>本部门2019年度机关运行经费支出274.41万元，比2018年增加274.41万元，增长100%。主要原因是：新成立单位需汇总下级三家单位决算数据无上年对比数据.</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仿宋_GB2312" w:eastAsia="仿宋_GB2312" w:hint="eastAsia"/>
          <w:color w:val="000000" w:themeColor="text1"/>
          <w:sz w:val="32"/>
          <w:szCs w:val="32"/>
        </w:rPr>
        <w:t>（二）政府采购支出情况</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仿宋_GB2312" w:eastAsia="仿宋_GB2312" w:hAnsi="Times New Roman" w:hint="eastAsia"/>
          <w:color w:val="000000" w:themeColor="text1"/>
          <w:sz w:val="32"/>
          <w:szCs w:val="32"/>
        </w:rPr>
        <w:t>本部门2019年度政府采购支出合计2,624.03万元，其中：政府采购货物支出2,618.26万元</w:t>
      </w:r>
      <w:r w:rsidRPr="001C1A54">
        <w:rPr>
          <w:rFonts w:ascii="Times New Roman" w:eastAsia="仿宋_GB2312" w:hAnsi="Times New Roman" w:cs="Times New Roman"/>
          <w:color w:val="000000" w:themeColor="text1"/>
          <w:sz w:val="32"/>
          <w:szCs w:val="32"/>
        </w:rPr>
        <w:t>,</w:t>
      </w:r>
      <w:r w:rsidRPr="001C1A54">
        <w:rPr>
          <w:rFonts w:ascii="仿宋_GB2312" w:eastAsia="仿宋_GB2312" w:hAnsi="Times New Roman" w:hint="eastAsia"/>
          <w:color w:val="000000" w:themeColor="text1"/>
          <w:sz w:val="32"/>
          <w:szCs w:val="32"/>
        </w:rPr>
        <w:t>比2018年增加2,618.26万元，增长100%，主要原因是：新成立单位需汇总下级三家单位决算数据无上年对比数据；政府采购工程支出1.77万元，比2018年增加1.77万元，增长100%，主要原因是：新成立单位需汇总下级三家单位决算数据无上年</w:t>
      </w:r>
      <w:r w:rsidRPr="001C1A54">
        <w:rPr>
          <w:rFonts w:ascii="仿宋_GB2312" w:eastAsia="仿宋_GB2312" w:hAnsi="Times New Roman" w:hint="eastAsia"/>
          <w:color w:val="000000" w:themeColor="text1"/>
          <w:sz w:val="32"/>
          <w:szCs w:val="32"/>
        </w:rPr>
        <w:lastRenderedPageBreak/>
        <w:t>对比数据；政府采购服务支出4.00万元，比2018年增加4.00万元，增长100%，主要原因是：新成立单位需汇总下级三家单位决算数据无上年对比数据。授予中小企业合同金额2,624.03万元，占政府采购支出总额的100%。其中：授予小微企业合同金额2,624.03万元，占政府采购支出总额的100%。</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仿宋_GB2312" w:eastAsia="仿宋_GB2312" w:hAnsi="Times New Roman" w:hint="eastAsia"/>
          <w:color w:val="000000" w:themeColor="text1"/>
          <w:sz w:val="32"/>
          <w:szCs w:val="32"/>
        </w:rPr>
        <w:t>（三）国有资产占用情况</w:t>
      </w:r>
    </w:p>
    <w:p w:rsidR="00BE41C7" w:rsidRPr="001C1A54" w:rsidRDefault="009439D5">
      <w:pPr>
        <w:autoSpaceDE w:val="0"/>
        <w:autoSpaceDN w:val="0"/>
        <w:adjustRightInd w:val="0"/>
        <w:spacing w:before="100" w:beforeAutospacing="1" w:after="100" w:afterAutospacing="1"/>
        <w:ind w:firstLine="600"/>
        <w:rPr>
          <w:rFonts w:ascii="仿宋_GB2312" w:eastAsia="仿宋_GB2312" w:hAnsi="Times New Roman"/>
          <w:color w:val="000000" w:themeColor="text1"/>
          <w:sz w:val="32"/>
          <w:szCs w:val="32"/>
        </w:rPr>
      </w:pPr>
      <w:r w:rsidRPr="001C1A54">
        <w:rPr>
          <w:rFonts w:ascii="仿宋_GB2312" w:eastAsia="仿宋_GB2312" w:hAnsi="Times New Roman" w:hint="eastAsia"/>
          <w:color w:val="000000" w:themeColor="text1"/>
          <w:sz w:val="32"/>
          <w:szCs w:val="32"/>
        </w:rPr>
        <w:t>截至2019年12月31日，本部门共有车辆26辆，其中，副部（省）级及以上领导用车0辆</w:t>
      </w:r>
      <w:r w:rsidRPr="001C1A54">
        <w:rPr>
          <w:rFonts w:ascii="Times New Roman" w:eastAsia="仿宋_GB2312" w:hAnsi="Times New Roman" w:cs="Times New Roman"/>
          <w:color w:val="000000" w:themeColor="text1"/>
          <w:sz w:val="32"/>
          <w:szCs w:val="32"/>
        </w:rPr>
        <w:t>,</w:t>
      </w:r>
      <w:r w:rsidRPr="001C1A54">
        <w:rPr>
          <w:rFonts w:ascii="仿宋_GB2312" w:eastAsia="仿宋_GB2312" w:hAnsi="Times New Roman" w:hint="eastAsia"/>
          <w:color w:val="000000" w:themeColor="text1"/>
          <w:sz w:val="32"/>
          <w:szCs w:val="32"/>
        </w:rPr>
        <w:t>主要用于：我单位无次级别职务领导;主要领导干部用车0辆，主要用于：车改后没有此类车辆;机要通信用车1辆，主要用于：机关办公需要;应急保障用车0辆，主要用于：单位无此类车辆;执法执勤用车8辆</w:t>
      </w:r>
      <w:r w:rsidRPr="001C1A54">
        <w:rPr>
          <w:rFonts w:ascii="Times New Roman" w:eastAsia="仿宋_GB2312" w:hAnsi="Times New Roman" w:cs="Times New Roman"/>
          <w:color w:val="000000" w:themeColor="text1"/>
          <w:sz w:val="32"/>
          <w:szCs w:val="32"/>
        </w:rPr>
        <w:t>,</w:t>
      </w:r>
      <w:r w:rsidRPr="001C1A54">
        <w:rPr>
          <w:rFonts w:ascii="仿宋_GB2312" w:eastAsia="仿宋_GB2312" w:hAnsi="Times New Roman" w:hint="eastAsia"/>
          <w:color w:val="000000" w:themeColor="text1"/>
          <w:sz w:val="32"/>
          <w:szCs w:val="32"/>
        </w:rPr>
        <w:t>主要用于：安全生产执法、监察执法；特种专业技术用车15辆</w:t>
      </w:r>
      <w:r w:rsidRPr="001C1A54">
        <w:rPr>
          <w:rFonts w:ascii="Times New Roman" w:eastAsia="仿宋_GB2312" w:hAnsi="Times New Roman" w:cs="Times New Roman"/>
          <w:color w:val="000000" w:themeColor="text1"/>
          <w:sz w:val="32"/>
          <w:szCs w:val="32"/>
        </w:rPr>
        <w:t>,</w:t>
      </w:r>
      <w:r w:rsidRPr="001C1A54">
        <w:rPr>
          <w:rFonts w:ascii="仿宋_GB2312" w:eastAsia="仿宋_GB2312" w:hAnsi="Times New Roman" w:hint="eastAsia"/>
          <w:color w:val="000000" w:themeColor="text1"/>
          <w:sz w:val="32"/>
          <w:szCs w:val="32"/>
        </w:rPr>
        <w:t>主要用于：应急救援；离退休干部用车0辆</w:t>
      </w:r>
      <w:r w:rsidRPr="001C1A54">
        <w:rPr>
          <w:rFonts w:ascii="Times New Roman" w:eastAsia="仿宋_GB2312" w:hAnsi="Times New Roman" w:cs="Times New Roman"/>
          <w:color w:val="000000" w:themeColor="text1"/>
          <w:sz w:val="32"/>
          <w:szCs w:val="32"/>
        </w:rPr>
        <w:t>,</w:t>
      </w:r>
      <w:r w:rsidRPr="001C1A54">
        <w:rPr>
          <w:rFonts w:ascii="仿宋_GB2312" w:eastAsia="仿宋_GB2312" w:hAnsi="Times New Roman" w:hint="eastAsia"/>
          <w:color w:val="000000" w:themeColor="text1"/>
          <w:sz w:val="32"/>
          <w:szCs w:val="32"/>
        </w:rPr>
        <w:t>主要用于：单位无此类车辆；其他用车2辆，主要是用于其他用途车辆。单位价值50万元以上通用设备0台（套），主要是无此类价值通用设备，比2018年增加0.00台（套），主要原因是新成立单位需汇总下级三家单位决算数据无上年对比数据;单位价值100万元以上专用设备0台（套），主要是无此类价值专用设备，比2018年增加0.00台（套），主要</w:t>
      </w:r>
      <w:r w:rsidRPr="001C1A54">
        <w:rPr>
          <w:rFonts w:ascii="仿宋_GB2312" w:eastAsia="仿宋_GB2312" w:hAnsi="Times New Roman" w:hint="eastAsia"/>
          <w:color w:val="000000" w:themeColor="text1"/>
          <w:sz w:val="32"/>
          <w:szCs w:val="32"/>
        </w:rPr>
        <w:lastRenderedPageBreak/>
        <w:t>原因是新成立单位需汇总下级三家单位决算数据无上年对比数据。</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Times New Roman" w:eastAsia="仿宋_GB2312" w:hAnsi="Times New Roman" w:cs="Times New Roman"/>
          <w:color w:val="000000" w:themeColor="text1"/>
          <w:sz w:val="32"/>
          <w:szCs w:val="32"/>
        </w:rPr>
        <w:t xml:space="preserve"> </w:t>
      </w:r>
      <w:r w:rsidRPr="001C1A54">
        <w:rPr>
          <w:rFonts w:ascii="仿宋_GB2312" w:eastAsia="仿宋_GB2312" w:hAnsi="Times New Roman" w:hint="eastAsia"/>
          <w:b/>
          <w:bCs/>
          <w:color w:val="000000" w:themeColor="text1"/>
          <w:sz w:val="32"/>
          <w:szCs w:val="32"/>
        </w:rPr>
        <w:t>第三部分 名词解释</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仿宋_GB2312" w:eastAsia="仿宋_GB2312" w:hAnsi="Times New Roman" w:hint="eastAsia"/>
          <w:color w:val="000000" w:themeColor="text1"/>
          <w:sz w:val="32"/>
          <w:szCs w:val="32"/>
        </w:rPr>
        <w:t>（一）财政拨款收入：指本年度从本级财政部门取得的财政拨款，包括一般公共预算财政拨款和政府性基金预算财政拨款。</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仿宋_GB2312" w:eastAsia="仿宋_GB2312" w:hAnsi="Times New Roman" w:hint="eastAsia"/>
          <w:color w:val="000000" w:themeColor="text1"/>
          <w:sz w:val="32"/>
          <w:szCs w:val="32"/>
        </w:rPr>
        <w:t>（二）事业收入：指事业单位开展专业业务活动及其辅助活动取得的收入；事业单位收到的财政专户实际核拨的教育收费等资金。</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仿宋_GB2312" w:eastAsia="仿宋_GB2312" w:hAnsi="Times New Roman" w:hint="eastAsia"/>
          <w:color w:val="000000" w:themeColor="text1"/>
          <w:sz w:val="32"/>
          <w:szCs w:val="32"/>
        </w:rPr>
        <w:t>（三）经营收入：指事业单位在专业业务活动及其辅助活动之外开展非独立核算经营活动取得的收入。</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仿宋_GB2312" w:eastAsia="仿宋_GB2312" w:hAnsi="Times New Roman" w:hint="eastAsia"/>
          <w:color w:val="000000" w:themeColor="text1"/>
          <w:sz w:val="32"/>
          <w:szCs w:val="32"/>
        </w:rPr>
        <w:t>（四）其他收入：指单位取得的除上述收入以外的各项收入，包括未纳入财政预算的投资收益、银行存款利息收入、租金收入、捐赠收入、事业单位固定资产出租收入等。各单位从本级财政部门以外的同级单位取得的经费、从非本级财政部门取得的经费，以及行政单位收到的财政专户管理资金。</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仿宋_GB2312" w:eastAsia="仿宋_GB2312" w:hAnsi="Times New Roman" w:hint="eastAsia"/>
          <w:color w:val="000000" w:themeColor="text1"/>
          <w:sz w:val="32"/>
          <w:szCs w:val="32"/>
        </w:rPr>
        <w:t>（五）用事业基金弥补收支差额：指事业单位在当年的“财政拨款收入”、“财政拨款结转和结余资金”、“事</w:t>
      </w:r>
      <w:r w:rsidRPr="001C1A54">
        <w:rPr>
          <w:rFonts w:ascii="仿宋_GB2312" w:eastAsia="仿宋_GB2312" w:hAnsi="Times New Roman" w:hint="eastAsia"/>
          <w:color w:val="000000" w:themeColor="text1"/>
          <w:sz w:val="32"/>
          <w:szCs w:val="32"/>
        </w:rPr>
        <w:lastRenderedPageBreak/>
        <w:t>业收入”、“事业单位经营收入”、“其他收入”不足以安排当年支出的情况下，使用以前年度累积的事业基金（当年收支相抵后按国家规定提取、用于弥补以后年度收支差额的基金）弥补本年收支缺口的资金。</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仿宋_GB2312" w:eastAsia="仿宋_GB2312" w:hAnsi="Times New Roman" w:hint="eastAsia"/>
          <w:color w:val="000000" w:themeColor="text1"/>
          <w:sz w:val="32"/>
          <w:szCs w:val="32"/>
        </w:rPr>
        <w:t>（六）年初结转和结余：</w:t>
      </w:r>
      <w:r w:rsidRPr="001C1A54">
        <w:rPr>
          <w:rFonts w:ascii="仿宋_GB2312" w:eastAsia="仿宋_GB2312" w:hAnsi="Times New Roman" w:hint="eastAsia"/>
          <w:color w:val="000000" w:themeColor="text1"/>
          <w:sz w:val="32"/>
          <w:szCs w:val="32"/>
          <w:highlight w:val="white"/>
        </w:rPr>
        <w:t>指以前年度支出预算因客观条件变化未执行完毕、结转到本年度按有关规定继续使用的资金。</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仿宋_GB2312" w:eastAsia="仿宋_GB2312" w:hAnsi="Times New Roman" w:hint="eastAsia"/>
          <w:color w:val="000000" w:themeColor="text1"/>
          <w:sz w:val="32"/>
          <w:szCs w:val="32"/>
        </w:rPr>
        <w:t>（七）结余分配</w:t>
      </w:r>
      <w:r w:rsidRPr="001C1A54">
        <w:rPr>
          <w:rFonts w:ascii="仿宋_GB2312" w:eastAsia="仿宋_GB2312" w:hAnsi="Times New Roman" w:hint="eastAsia"/>
          <w:color w:val="000000" w:themeColor="text1"/>
          <w:sz w:val="32"/>
          <w:szCs w:val="32"/>
          <w:highlight w:val="white"/>
        </w:rPr>
        <w:t>：指事业单位按照会计制度规定缴纳的所得税以及从非财政拨款结余中提取的职工福利基金、事业基金等。</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仿宋_GB2312" w:eastAsia="仿宋_GB2312" w:hAnsi="Times New Roman" w:hint="eastAsia"/>
          <w:color w:val="000000" w:themeColor="text1"/>
          <w:sz w:val="32"/>
          <w:szCs w:val="32"/>
        </w:rPr>
        <w:t>（八）年末结转和结余</w:t>
      </w:r>
      <w:r w:rsidRPr="001C1A54">
        <w:rPr>
          <w:rFonts w:ascii="仿宋_GB2312" w:eastAsia="仿宋_GB2312" w:hAnsi="Times New Roman" w:hint="eastAsia"/>
          <w:color w:val="000000" w:themeColor="text1"/>
          <w:sz w:val="32"/>
          <w:szCs w:val="32"/>
          <w:highlight w:val="white"/>
        </w:rPr>
        <w:t>：指单位本年度或以前年度预算安排、因客观条件发生变化未全部执行或未执行，结转到以后年度继续使用的资金，或项目已完成等产生的结余资金。</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仿宋_GB2312" w:eastAsia="仿宋_GB2312" w:hAnsi="Times New Roman" w:hint="eastAsia"/>
          <w:color w:val="000000" w:themeColor="text1"/>
          <w:sz w:val="32"/>
          <w:szCs w:val="32"/>
        </w:rPr>
        <w:t>（九）基本支出：指为保障机构正常运转、完成日常工作任务而发生的人员经费和公用经费。其中：人员经费指政府收支分类经济科目中的</w:t>
      </w:r>
      <w:r w:rsidRPr="001C1A54">
        <w:rPr>
          <w:rFonts w:ascii="Times New Roman" w:eastAsia="仿宋_GB2312" w:hAnsi="Times New Roman" w:cs="Times New Roman"/>
          <w:color w:val="000000" w:themeColor="text1"/>
          <w:sz w:val="32"/>
          <w:szCs w:val="32"/>
        </w:rPr>
        <w:t>“</w:t>
      </w:r>
      <w:r w:rsidRPr="001C1A54">
        <w:rPr>
          <w:rFonts w:ascii="仿宋_GB2312" w:eastAsia="仿宋_GB2312" w:hAnsi="Times New Roman" w:hint="eastAsia"/>
          <w:color w:val="000000" w:themeColor="text1"/>
          <w:sz w:val="32"/>
          <w:szCs w:val="32"/>
        </w:rPr>
        <w:t>工资福利支出</w:t>
      </w:r>
      <w:r w:rsidRPr="001C1A54">
        <w:rPr>
          <w:rFonts w:ascii="Times New Roman" w:eastAsia="仿宋_GB2312" w:hAnsi="Times New Roman" w:cs="Times New Roman"/>
          <w:color w:val="000000" w:themeColor="text1"/>
          <w:sz w:val="32"/>
          <w:szCs w:val="32"/>
        </w:rPr>
        <w:t>”</w:t>
      </w:r>
      <w:r w:rsidRPr="001C1A54">
        <w:rPr>
          <w:rFonts w:ascii="仿宋_GB2312" w:eastAsia="仿宋_GB2312" w:hAnsi="Times New Roman" w:hint="eastAsia"/>
          <w:color w:val="000000" w:themeColor="text1"/>
          <w:sz w:val="32"/>
          <w:szCs w:val="32"/>
        </w:rPr>
        <w:t>和</w:t>
      </w:r>
      <w:r w:rsidRPr="001C1A54">
        <w:rPr>
          <w:rFonts w:ascii="Times New Roman" w:eastAsia="仿宋_GB2312" w:hAnsi="Times New Roman" w:cs="Times New Roman"/>
          <w:color w:val="000000" w:themeColor="text1"/>
          <w:sz w:val="32"/>
          <w:szCs w:val="32"/>
        </w:rPr>
        <w:t>“</w:t>
      </w:r>
      <w:r w:rsidRPr="001C1A54">
        <w:rPr>
          <w:rFonts w:ascii="仿宋_GB2312" w:eastAsia="仿宋_GB2312" w:hAnsi="Times New Roman" w:hint="eastAsia"/>
          <w:color w:val="000000" w:themeColor="text1"/>
          <w:sz w:val="32"/>
          <w:szCs w:val="32"/>
        </w:rPr>
        <w:t>对个人和家庭的补助</w:t>
      </w:r>
      <w:r w:rsidRPr="001C1A54">
        <w:rPr>
          <w:rFonts w:ascii="Times New Roman" w:eastAsia="仿宋_GB2312" w:hAnsi="Times New Roman" w:cs="Times New Roman"/>
          <w:color w:val="000000" w:themeColor="text1"/>
          <w:sz w:val="32"/>
          <w:szCs w:val="32"/>
        </w:rPr>
        <w:t>”</w:t>
      </w:r>
      <w:r w:rsidRPr="001C1A54">
        <w:rPr>
          <w:rFonts w:ascii="仿宋_GB2312" w:eastAsia="仿宋_GB2312" w:hAnsi="Times New Roman" w:hint="eastAsia"/>
          <w:color w:val="000000" w:themeColor="text1"/>
          <w:sz w:val="32"/>
          <w:szCs w:val="32"/>
        </w:rPr>
        <w:t>；公用经费指政府收支分类经济科目中除</w:t>
      </w:r>
      <w:r w:rsidRPr="001C1A54">
        <w:rPr>
          <w:rFonts w:ascii="Times New Roman" w:eastAsia="仿宋_GB2312" w:hAnsi="Times New Roman" w:cs="Times New Roman"/>
          <w:color w:val="000000" w:themeColor="text1"/>
          <w:sz w:val="32"/>
          <w:szCs w:val="32"/>
        </w:rPr>
        <w:t>“</w:t>
      </w:r>
      <w:r w:rsidRPr="001C1A54">
        <w:rPr>
          <w:rFonts w:ascii="仿宋_GB2312" w:eastAsia="仿宋_GB2312" w:hAnsi="Times New Roman" w:hint="eastAsia"/>
          <w:color w:val="000000" w:themeColor="text1"/>
          <w:sz w:val="32"/>
          <w:szCs w:val="32"/>
        </w:rPr>
        <w:t>工资福利支出</w:t>
      </w:r>
      <w:r w:rsidRPr="001C1A54">
        <w:rPr>
          <w:rFonts w:ascii="Times New Roman" w:eastAsia="仿宋_GB2312" w:hAnsi="Times New Roman" w:cs="Times New Roman"/>
          <w:color w:val="000000" w:themeColor="text1"/>
          <w:sz w:val="32"/>
          <w:szCs w:val="32"/>
        </w:rPr>
        <w:t>”</w:t>
      </w:r>
      <w:r w:rsidRPr="001C1A54">
        <w:rPr>
          <w:rFonts w:ascii="仿宋_GB2312" w:eastAsia="仿宋_GB2312" w:hAnsi="Times New Roman" w:hint="eastAsia"/>
          <w:color w:val="000000" w:themeColor="text1"/>
          <w:sz w:val="32"/>
          <w:szCs w:val="32"/>
        </w:rPr>
        <w:t>和</w:t>
      </w:r>
      <w:r w:rsidRPr="001C1A54">
        <w:rPr>
          <w:rFonts w:ascii="Times New Roman" w:eastAsia="仿宋_GB2312" w:hAnsi="Times New Roman" w:cs="Times New Roman"/>
          <w:color w:val="000000" w:themeColor="text1"/>
          <w:sz w:val="32"/>
          <w:szCs w:val="32"/>
        </w:rPr>
        <w:t>“</w:t>
      </w:r>
      <w:r w:rsidRPr="001C1A54">
        <w:rPr>
          <w:rFonts w:ascii="仿宋_GB2312" w:eastAsia="仿宋_GB2312" w:hAnsi="Times New Roman" w:hint="eastAsia"/>
          <w:color w:val="000000" w:themeColor="text1"/>
          <w:sz w:val="32"/>
          <w:szCs w:val="32"/>
        </w:rPr>
        <w:t>对个人和家庭的补助</w:t>
      </w:r>
      <w:r w:rsidRPr="001C1A54">
        <w:rPr>
          <w:rFonts w:ascii="Times New Roman" w:eastAsia="仿宋_GB2312" w:hAnsi="Times New Roman" w:cs="Times New Roman"/>
          <w:color w:val="000000" w:themeColor="text1"/>
          <w:sz w:val="32"/>
          <w:szCs w:val="32"/>
        </w:rPr>
        <w:t>”</w:t>
      </w:r>
      <w:r w:rsidRPr="001C1A54">
        <w:rPr>
          <w:rFonts w:ascii="仿宋_GB2312" w:eastAsia="仿宋_GB2312" w:hAnsi="Times New Roman" w:hint="eastAsia"/>
          <w:color w:val="000000" w:themeColor="text1"/>
          <w:sz w:val="32"/>
          <w:szCs w:val="32"/>
        </w:rPr>
        <w:t>外的其他支出。</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仿宋_GB2312" w:eastAsia="仿宋_GB2312" w:hAnsi="Times New Roman" w:hint="eastAsia"/>
          <w:color w:val="000000" w:themeColor="text1"/>
          <w:sz w:val="32"/>
          <w:szCs w:val="32"/>
        </w:rPr>
        <w:lastRenderedPageBreak/>
        <w:t>（十）项目支出：指在基本支出之外为完成特定任务和事业发展目标所发生的支出。</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仿宋_GB2312" w:eastAsia="仿宋_GB2312" w:hAnsi="Times New Roman" w:hint="eastAsia"/>
          <w:color w:val="000000" w:themeColor="text1"/>
          <w:sz w:val="32"/>
          <w:szCs w:val="32"/>
        </w:rPr>
        <w:t>（十一）经营支出：指事业单位在专业业务活动及其辅助活动之外开展非独立核算经营活动发生的支出。</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仿宋_GB2312" w:eastAsia="仿宋_GB2312" w:hAnsi="Times New Roman" w:hint="eastAsia"/>
          <w:color w:val="000000" w:themeColor="text1"/>
          <w:sz w:val="32"/>
          <w:szCs w:val="32"/>
        </w:rPr>
        <w:t>（十二）</w:t>
      </w:r>
      <w:r w:rsidRPr="001C1A54">
        <w:rPr>
          <w:rFonts w:ascii="Times New Roman" w:eastAsia="仿宋_GB2312" w:hAnsi="Times New Roman" w:cs="Times New Roman"/>
          <w:color w:val="000000" w:themeColor="text1"/>
          <w:sz w:val="32"/>
          <w:szCs w:val="32"/>
        </w:rPr>
        <w:t>“</w:t>
      </w:r>
      <w:r w:rsidRPr="001C1A54">
        <w:rPr>
          <w:rFonts w:ascii="仿宋_GB2312" w:eastAsia="仿宋_GB2312" w:hAnsi="Times New Roman" w:hint="eastAsia"/>
          <w:color w:val="000000" w:themeColor="text1"/>
          <w:sz w:val="32"/>
          <w:szCs w:val="32"/>
        </w:rPr>
        <w:t>三公</w:t>
      </w:r>
      <w:r w:rsidRPr="001C1A54">
        <w:rPr>
          <w:rFonts w:ascii="Times New Roman" w:eastAsia="仿宋_GB2312" w:hAnsi="Times New Roman" w:cs="Times New Roman"/>
          <w:color w:val="000000" w:themeColor="text1"/>
          <w:sz w:val="32"/>
          <w:szCs w:val="32"/>
        </w:rPr>
        <w:t>”</w:t>
      </w:r>
      <w:r w:rsidRPr="001C1A54">
        <w:rPr>
          <w:rFonts w:ascii="仿宋_GB2312" w:eastAsia="仿宋_GB2312" w:hAnsi="Times New Roman" w:hint="eastAsia"/>
          <w:color w:val="000000" w:themeColor="text1"/>
          <w:sz w:val="32"/>
          <w:szCs w:val="32"/>
        </w:rPr>
        <w:t>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仿宋_GB2312" w:eastAsia="仿宋_GB2312" w:hAnsi="Times New Roman" w:hint="eastAsia"/>
          <w:color w:val="000000" w:themeColor="text1"/>
          <w:sz w:val="32"/>
          <w:szCs w:val="32"/>
        </w:rPr>
        <w:t>（十三）机关运行经费：指行政单位和参照公务员法管理的事业单位使用一般公共预算财政拨款安排的基本支出中的日常公用经费支出。未包含行政单位或参照公务员法管理事业单位的部门，参考此口径公开本部门的日常公用经费，并与预算公开保持一致。未包含行政单位或者参照公务员法管理事业单位的部门，参照此口径公开本部门的日常公用经费，并与预算公开保持一致。</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仿宋_GB2312" w:eastAsia="仿宋_GB2312" w:hAnsi="Times New Roman" w:hint="eastAsia"/>
          <w:color w:val="000000" w:themeColor="text1"/>
          <w:sz w:val="32"/>
          <w:szCs w:val="32"/>
        </w:rPr>
        <w:lastRenderedPageBreak/>
        <w:t>（十四）工资福利支出（支出经济分类科目类级）：反映单位开支的在职职工和编制外长期聘用人员的各类劳动报酬，以及为上述人员缴纳的各项社会保险费等。</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仿宋_GB2312" w:eastAsia="仿宋_GB2312" w:hAnsi="Times New Roman" w:hint="eastAsia"/>
          <w:color w:val="000000" w:themeColor="text1"/>
          <w:sz w:val="32"/>
          <w:szCs w:val="32"/>
        </w:rPr>
        <w:t>（十五）商品和服务支出（支出经济分类科目类级）：反映单位购买商品和服务的支出（不包括用于购置固定资产的支出、战略性和应急储备支出）。</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仿宋_GB2312" w:eastAsia="仿宋_GB2312" w:hAnsi="Times New Roman" w:hint="eastAsia"/>
          <w:color w:val="000000" w:themeColor="text1"/>
          <w:sz w:val="32"/>
          <w:szCs w:val="32"/>
        </w:rPr>
        <w:t>（十六）对个人和家庭的补助（支出经济分类科目类级）：反映用于对个人和家庭的补助支出。</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仿宋_GB2312" w:eastAsia="仿宋_GB2312" w:hAnsi="Times New Roman" w:hint="eastAsia"/>
          <w:color w:val="000000" w:themeColor="text1"/>
          <w:sz w:val="32"/>
          <w:szCs w:val="32"/>
        </w:rPr>
        <w:t>（十七）资本性支出（支出经济分类科目类级）：反映非各级发展与改革部门集中安排的用于购置固定资产、战略性和应急性储备、土地和无形资产，以及构建基础设施、大型修缮和财政支持企业更新改造所发生的支出。</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Times New Roman" w:eastAsia="仿宋_GB2312" w:hAnsi="Times New Roman" w:cs="Times New Roman"/>
          <w:color w:val="000000" w:themeColor="text1"/>
          <w:sz w:val="32"/>
          <w:szCs w:val="32"/>
        </w:rPr>
        <w:t xml:space="preserve"> </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b/>
          <w:bCs/>
          <w:color w:val="000000" w:themeColor="text1"/>
          <w:sz w:val="32"/>
          <w:szCs w:val="32"/>
        </w:rPr>
      </w:pPr>
      <w:r w:rsidRPr="001C1A54">
        <w:rPr>
          <w:rFonts w:ascii="仿宋_GB2312" w:eastAsia="仿宋_GB2312" w:hAnsi="Times New Roman" w:hint="eastAsia"/>
          <w:b/>
          <w:bCs/>
          <w:color w:val="000000" w:themeColor="text1"/>
          <w:sz w:val="32"/>
          <w:szCs w:val="32"/>
        </w:rPr>
        <w:t>第四部分 决算公开联系方式及信息反馈渠道</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32"/>
          <w:szCs w:val="32"/>
        </w:rPr>
      </w:pPr>
      <w:r w:rsidRPr="001C1A54">
        <w:rPr>
          <w:rFonts w:ascii="仿宋_GB2312" w:eastAsia="仿宋_GB2312" w:hAnsi="Times New Roman" w:hint="eastAsia"/>
          <w:color w:val="000000" w:themeColor="text1"/>
          <w:sz w:val="32"/>
          <w:szCs w:val="32"/>
        </w:rPr>
        <w:t>本单位决算公开信息反馈和联系方式：</w:t>
      </w:r>
    </w:p>
    <w:p w:rsidR="00BE41C7" w:rsidRPr="001C1A54" w:rsidRDefault="009439D5">
      <w:pPr>
        <w:autoSpaceDE w:val="0"/>
        <w:autoSpaceDN w:val="0"/>
        <w:adjustRightInd w:val="0"/>
        <w:spacing w:before="100" w:beforeAutospacing="1" w:after="100" w:afterAutospacing="1"/>
        <w:ind w:firstLine="600"/>
        <w:rPr>
          <w:rFonts w:ascii="Times New Roman" w:eastAsia="仿宋_GB2312" w:hAnsi="Times New Roman" w:cs="Times New Roman"/>
          <w:color w:val="000000" w:themeColor="text1"/>
          <w:sz w:val="18"/>
          <w:szCs w:val="18"/>
        </w:rPr>
      </w:pPr>
      <w:r w:rsidRPr="001C1A54">
        <w:rPr>
          <w:rFonts w:ascii="仿宋_GB2312" w:eastAsia="仿宋_GB2312" w:hAnsi="Times New Roman" w:hint="eastAsia"/>
          <w:color w:val="000000" w:themeColor="text1"/>
          <w:sz w:val="32"/>
          <w:szCs w:val="32"/>
        </w:rPr>
        <w:t>联系人：李彦茹    联系电话：0470</w:t>
      </w:r>
      <w:r w:rsidRPr="001C1A54">
        <w:rPr>
          <w:rFonts w:ascii="Times New Roman" w:eastAsia="仿宋_GB2312" w:hAnsi="Times New Roman" w:cs="Times New Roman"/>
          <w:color w:val="000000" w:themeColor="text1"/>
          <w:sz w:val="32"/>
          <w:szCs w:val="32"/>
        </w:rPr>
        <w:t>-</w:t>
      </w:r>
      <w:r w:rsidRPr="001C1A54">
        <w:rPr>
          <w:rFonts w:ascii="仿宋_GB2312" w:eastAsia="仿宋_GB2312" w:hAnsi="Times New Roman" w:hint="eastAsia"/>
          <w:color w:val="000000" w:themeColor="text1"/>
          <w:sz w:val="32"/>
          <w:szCs w:val="32"/>
        </w:rPr>
        <w:t>8135069</w:t>
      </w:r>
    </w:p>
    <w:p w:rsidR="00BE41C7" w:rsidRPr="001C1A54" w:rsidRDefault="009439D5">
      <w:pPr>
        <w:autoSpaceDE w:val="0"/>
        <w:autoSpaceDN w:val="0"/>
        <w:adjustRightInd w:val="0"/>
        <w:spacing w:before="100" w:beforeAutospacing="1" w:after="100" w:afterAutospacing="1"/>
        <w:rPr>
          <w:rFonts w:ascii="Times New Roman" w:eastAsia="仿宋_GB2312" w:hAnsi="Times New Roman" w:cs="Times New Roman"/>
          <w:b/>
          <w:bCs/>
          <w:color w:val="000000" w:themeColor="text1"/>
          <w:sz w:val="36"/>
          <w:szCs w:val="36"/>
        </w:rPr>
      </w:pPr>
      <w:r w:rsidRPr="001C1A54">
        <w:rPr>
          <w:rFonts w:ascii="Times New Roman" w:eastAsia="仿宋_GB2312" w:hAnsi="Times New Roman" w:cs="Times New Roman"/>
          <w:b/>
          <w:bCs/>
          <w:color w:val="000000" w:themeColor="text1"/>
          <w:sz w:val="36"/>
          <w:szCs w:val="36"/>
        </w:rPr>
        <w:t xml:space="preserve"> </w:t>
      </w:r>
    </w:p>
    <w:sectPr w:rsidR="00BE41C7" w:rsidRPr="001C1A54">
      <w:pgSz w:w="11915" w:h="16851"/>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41C7" w:rsidRDefault="009439D5">
      <w:r>
        <w:separator/>
      </w:r>
    </w:p>
  </w:endnote>
  <w:endnote w:type="continuationSeparator" w:id="0">
    <w:p w:rsidR="00BE41C7" w:rsidRDefault="00943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仿宋_GB2312">
    <w:altName w:val="FangSong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41C7" w:rsidRDefault="009439D5">
      <w:r>
        <w:separator/>
      </w:r>
    </w:p>
  </w:footnote>
  <w:footnote w:type="continuationSeparator" w:id="0">
    <w:p w:rsidR="00BE41C7" w:rsidRDefault="009439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690E88"/>
    <w:multiLevelType w:val="hybridMultilevel"/>
    <w:tmpl w:val="34480D16"/>
    <w:lvl w:ilvl="0" w:tplc="3D90383E">
      <w:start w:val="1"/>
      <w:numFmt w:val="japaneseCounting"/>
      <w:lvlText w:val="%1、"/>
      <w:lvlJc w:val="left"/>
      <w:pPr>
        <w:ind w:left="1320" w:hanging="720"/>
      </w:pPr>
    </w:lvl>
    <w:lvl w:ilvl="1" w:tplc="04090019">
      <w:start w:val="1"/>
      <w:numFmt w:val="lowerLetter"/>
      <w:lvlText w:val="%2)"/>
      <w:lvlJc w:val="left"/>
      <w:pPr>
        <w:ind w:left="1440" w:hanging="420"/>
      </w:pPr>
    </w:lvl>
    <w:lvl w:ilvl="2" w:tplc="0409001B">
      <w:start w:val="1"/>
      <w:numFmt w:val="lowerRoman"/>
      <w:lvlText w:val="%3."/>
      <w:lvlJc w:val="right"/>
      <w:pPr>
        <w:ind w:left="1860" w:hanging="420"/>
      </w:pPr>
    </w:lvl>
    <w:lvl w:ilvl="3" w:tplc="0409000F">
      <w:start w:val="1"/>
      <w:numFmt w:val="decimal"/>
      <w:lvlText w:val="%4."/>
      <w:lvlJc w:val="left"/>
      <w:pPr>
        <w:ind w:left="2280" w:hanging="420"/>
      </w:pPr>
    </w:lvl>
    <w:lvl w:ilvl="4" w:tplc="04090019">
      <w:start w:val="1"/>
      <w:numFmt w:val="lowerLetter"/>
      <w:lvlText w:val="%5)"/>
      <w:lvlJc w:val="left"/>
      <w:pPr>
        <w:ind w:left="2700" w:hanging="420"/>
      </w:pPr>
    </w:lvl>
    <w:lvl w:ilvl="5" w:tplc="0409001B">
      <w:start w:val="1"/>
      <w:numFmt w:val="lowerRoman"/>
      <w:lvlText w:val="%6."/>
      <w:lvlJc w:val="right"/>
      <w:pPr>
        <w:ind w:left="3120" w:hanging="420"/>
      </w:pPr>
    </w:lvl>
    <w:lvl w:ilvl="6" w:tplc="0409000F">
      <w:start w:val="1"/>
      <w:numFmt w:val="decimal"/>
      <w:lvlText w:val="%7."/>
      <w:lvlJc w:val="left"/>
      <w:pPr>
        <w:ind w:left="3540" w:hanging="420"/>
      </w:pPr>
    </w:lvl>
    <w:lvl w:ilvl="7" w:tplc="04090019">
      <w:start w:val="1"/>
      <w:numFmt w:val="lowerLetter"/>
      <w:lvlText w:val="%8)"/>
      <w:lvlJc w:val="left"/>
      <w:pPr>
        <w:ind w:left="3960" w:hanging="420"/>
      </w:pPr>
    </w:lvl>
    <w:lvl w:ilvl="8" w:tplc="0409001B">
      <w:start w:val="1"/>
      <w:numFmt w:val="lowerRoman"/>
      <w:lvlText w:val="%9."/>
      <w:lvlJc w:val="right"/>
      <w:pPr>
        <w:ind w:left="4380" w:hanging="4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defaultTabStop w:val="420"/>
  <w:drawingGridVerticalSpacing w:val="156"/>
  <w:displayHorizontalDrawingGridEvery w:val="0"/>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A38"/>
    <w:rsid w:val="000D70AE"/>
    <w:rsid w:val="00111BB3"/>
    <w:rsid w:val="001C1A54"/>
    <w:rsid w:val="00200157"/>
    <w:rsid w:val="002226A5"/>
    <w:rsid w:val="00343E09"/>
    <w:rsid w:val="003F02F4"/>
    <w:rsid w:val="005E22F0"/>
    <w:rsid w:val="006D3860"/>
    <w:rsid w:val="008B1D05"/>
    <w:rsid w:val="009439D5"/>
    <w:rsid w:val="00A367D5"/>
    <w:rsid w:val="00A60C84"/>
    <w:rsid w:val="00AF5C31"/>
    <w:rsid w:val="00B0591A"/>
    <w:rsid w:val="00BE41C7"/>
    <w:rsid w:val="00C42FED"/>
    <w:rsid w:val="00CD03A6"/>
    <w:rsid w:val="00D20B34"/>
    <w:rsid w:val="00E04A38"/>
    <w:rsid w:val="00F075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3E55A12"/>
  <w15:chartTrackingRefBased/>
  <w15:docId w15:val="{5C6B5578-B12A-4384-9BFF-22F540CCE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宋体" w:eastAsia="宋体" w:hAnsi="宋体" w:cs="宋体"/>
      <w:sz w:val="24"/>
      <w:szCs w:val="24"/>
    </w:rPr>
  </w:style>
  <w:style w:type="paragraph" w:styleId="1">
    <w:name w:val="heading 1"/>
    <w:basedOn w:val="a"/>
    <w:next w:val="a"/>
    <w:qFormat/>
    <w:pPr>
      <w:spacing w:before="100" w:beforeAutospacing="1" w:after="100" w:afterAutospacing="1"/>
      <w:outlineLvl w:val="0"/>
    </w:pPr>
    <w:rPr>
      <w:b/>
      <w:bCs/>
      <w:kern w:val="44"/>
      <w:sz w:val="48"/>
      <w:szCs w:val="48"/>
    </w:rPr>
  </w:style>
  <w:style w:type="paragraph" w:styleId="2">
    <w:name w:val="heading 2"/>
    <w:basedOn w:val="a"/>
    <w:next w:val="a"/>
    <w:qFormat/>
    <w:pPr>
      <w:spacing w:before="100" w:beforeAutospacing="1" w:after="100" w:afterAutospacing="1"/>
      <w:outlineLvl w:val="1"/>
    </w:pPr>
    <w:rPr>
      <w:b/>
      <w:bCs/>
      <w:sz w:val="36"/>
      <w:szCs w:val="36"/>
    </w:rPr>
  </w:style>
  <w:style w:type="paragraph" w:styleId="3">
    <w:name w:val="heading 3"/>
    <w:basedOn w:val="a"/>
    <w:next w:val="a"/>
    <w:qFormat/>
    <w:pPr>
      <w:spacing w:before="100" w:beforeAutospacing="1" w:after="100" w:afterAutospacing="1"/>
      <w:outlineLvl w:val="2"/>
    </w:pPr>
    <w:rPr>
      <w:b/>
      <w:bCs/>
      <w:sz w:val="27"/>
      <w:szCs w:val="27"/>
    </w:rPr>
  </w:style>
  <w:style w:type="paragraph" w:styleId="4">
    <w:name w:val="heading 4"/>
    <w:basedOn w:val="a"/>
    <w:next w:val="a"/>
    <w:qFormat/>
    <w:pPr>
      <w:spacing w:before="100" w:beforeAutospacing="1" w:after="100" w:afterAutospacing="1"/>
      <w:outlineLvl w:val="3"/>
    </w:pPr>
    <w:rPr>
      <w:b/>
      <w:bCs/>
    </w:rPr>
  </w:style>
  <w:style w:type="paragraph" w:styleId="5">
    <w:name w:val="heading 5"/>
    <w:basedOn w:val="a"/>
    <w:next w:val="a"/>
    <w:qFormat/>
    <w:pPr>
      <w:spacing w:before="100" w:beforeAutospacing="1" w:after="100" w:afterAutospacing="1"/>
      <w:outlineLvl w:val="4"/>
    </w:pPr>
    <w:rPr>
      <w:b/>
      <w:bCs/>
      <w:sz w:val="20"/>
      <w:szCs w:val="20"/>
    </w:rPr>
  </w:style>
  <w:style w:type="paragraph" w:styleId="6">
    <w:name w:val="heading 6"/>
    <w:basedOn w:val="a"/>
    <w:next w:val="a"/>
    <w:qFormat/>
    <w:pPr>
      <w:spacing w:before="100" w:beforeAutospacing="1" w:after="100" w:afterAutospacing="1"/>
      <w:outlineLvl w:val="5"/>
    </w:pPr>
    <w:rPr>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rPr>
      <w:rFonts w:ascii="宋体" w:eastAsia="宋体" w:hAnsi="宋体" w:cs="宋体" w:hint="eastAsia"/>
      <w:b/>
      <w:bCs/>
      <w:kern w:val="44"/>
      <w:sz w:val="44"/>
      <w:szCs w:val="44"/>
    </w:rPr>
  </w:style>
  <w:style w:type="character" w:customStyle="1" w:styleId="20">
    <w:name w:val="标题 2 字符"/>
    <w:basedOn w:val="a0"/>
    <w:rPr>
      <w:rFonts w:asciiTheme="majorHAnsi" w:eastAsiaTheme="majorEastAsia" w:hAnsiTheme="majorHAnsi" w:cstheme="majorBidi" w:hint="eastAsia"/>
      <w:b/>
      <w:bCs/>
      <w:sz w:val="32"/>
      <w:szCs w:val="32"/>
    </w:rPr>
  </w:style>
  <w:style w:type="character" w:customStyle="1" w:styleId="30">
    <w:name w:val="标题 3 字符"/>
    <w:basedOn w:val="a0"/>
    <w:rPr>
      <w:rFonts w:ascii="宋体" w:eastAsia="宋体" w:hAnsi="宋体" w:cs="宋体" w:hint="eastAsia"/>
      <w:b/>
      <w:bCs/>
      <w:sz w:val="32"/>
      <w:szCs w:val="32"/>
    </w:rPr>
  </w:style>
  <w:style w:type="character" w:customStyle="1" w:styleId="40">
    <w:name w:val="标题 4 字符"/>
    <w:basedOn w:val="a0"/>
    <w:rPr>
      <w:rFonts w:asciiTheme="majorHAnsi" w:eastAsiaTheme="majorEastAsia" w:hAnsiTheme="majorHAnsi" w:cstheme="majorBidi" w:hint="eastAsia"/>
      <w:b/>
      <w:bCs/>
      <w:sz w:val="28"/>
      <w:szCs w:val="28"/>
    </w:rPr>
  </w:style>
  <w:style w:type="character" w:customStyle="1" w:styleId="50">
    <w:name w:val="标题 5 字符"/>
    <w:basedOn w:val="a0"/>
    <w:rPr>
      <w:rFonts w:ascii="宋体" w:eastAsia="宋体" w:hAnsi="宋体" w:cs="宋体" w:hint="eastAsia"/>
      <w:b/>
      <w:bCs/>
      <w:sz w:val="28"/>
      <w:szCs w:val="28"/>
    </w:rPr>
  </w:style>
  <w:style w:type="character" w:customStyle="1" w:styleId="60">
    <w:name w:val="标题 6 字符"/>
    <w:basedOn w:val="a0"/>
    <w:rPr>
      <w:rFonts w:asciiTheme="majorHAnsi" w:eastAsiaTheme="majorEastAsia" w:hAnsiTheme="majorHAnsi" w:cstheme="majorBidi" w:hint="eastAsia"/>
      <w:b/>
      <w:bCs/>
      <w:sz w:val="24"/>
      <w:szCs w:val="24"/>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character" w:customStyle="1" w:styleId="HTML0">
    <w:name w:val="HTML 预设格式 字符"/>
    <w:basedOn w:val="a0"/>
    <w:rPr>
      <w:rFonts w:ascii="Courier New" w:eastAsia="宋体" w:hAnsi="Courier New" w:cs="Courier New" w:hint="default"/>
    </w:rPr>
  </w:style>
  <w:style w:type="paragraph" w:customStyle="1" w:styleId="msonormal0">
    <w:name w:val="msonormal"/>
    <w:basedOn w:val="a"/>
    <w:pPr>
      <w:spacing w:before="100" w:beforeAutospacing="1" w:after="100" w:afterAutospacing="1"/>
    </w:pPr>
  </w:style>
  <w:style w:type="paragraph" w:styleId="a3">
    <w:name w:val="Normal (Web)"/>
    <w:basedOn w:val="a"/>
    <w:pPr>
      <w:spacing w:before="100" w:beforeAutospacing="1" w:after="100" w:afterAutospacing="1"/>
    </w:pPr>
  </w:style>
  <w:style w:type="paragraph" w:styleId="a4">
    <w:name w:val="header"/>
    <w:basedOn w:val="a"/>
    <w:link w:val="a5"/>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locked/>
    <w:rPr>
      <w:rFonts w:ascii="宋体" w:eastAsia="宋体" w:hAnsi="宋体" w:cs="宋体" w:hint="eastAsia"/>
      <w:sz w:val="18"/>
      <w:szCs w:val="18"/>
    </w:rPr>
  </w:style>
  <w:style w:type="paragraph" w:styleId="a6">
    <w:name w:val="footer"/>
    <w:basedOn w:val="a"/>
    <w:link w:val="a7"/>
    <w:pPr>
      <w:tabs>
        <w:tab w:val="center" w:pos="4153"/>
        <w:tab w:val="right" w:pos="8306"/>
      </w:tabs>
      <w:snapToGrid w:val="0"/>
    </w:pPr>
    <w:rPr>
      <w:sz w:val="18"/>
      <w:szCs w:val="18"/>
    </w:rPr>
  </w:style>
  <w:style w:type="character" w:customStyle="1" w:styleId="a7">
    <w:name w:val="页脚 字符"/>
    <w:basedOn w:val="a0"/>
    <w:link w:val="a6"/>
    <w:locked/>
    <w:rPr>
      <w:rFonts w:ascii="宋体" w:eastAsia="宋体" w:hAnsi="宋体" w:cs="宋体" w:hint="eastAsia"/>
      <w:sz w:val="18"/>
      <w:szCs w:val="18"/>
    </w:rPr>
  </w:style>
  <w:style w:type="paragraph" w:styleId="a8">
    <w:name w:val="List Paragraph"/>
    <w:basedOn w:val="a"/>
    <w:uiPriority w:val="99"/>
    <w:qFormat/>
    <w:pPr>
      <w:ind w:firstLineChars="200" w:firstLine="420"/>
    </w:pPr>
  </w:style>
  <w:style w:type="character" w:customStyle="1" w:styleId="100">
    <w:name w:val="10"/>
    <w:basedOn w:val="a0"/>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813338">
      <w:bodyDiv w:val="1"/>
      <w:marLeft w:val="0"/>
      <w:marRight w:val="0"/>
      <w:marTop w:val="0"/>
      <w:marBottom w:val="0"/>
      <w:divBdr>
        <w:top w:val="none" w:sz="0" w:space="0" w:color="auto"/>
        <w:left w:val="none" w:sz="0" w:space="0" w:color="auto"/>
        <w:bottom w:val="none" w:sz="0" w:space="0" w:color="auto"/>
        <w:right w:val="none" w:sz="0" w:space="0" w:color="auto"/>
      </w:divBdr>
    </w:div>
    <w:div w:id="1003898766">
      <w:bodyDiv w:val="1"/>
      <w:marLeft w:val="0"/>
      <w:marRight w:val="0"/>
      <w:marTop w:val="0"/>
      <w:marBottom w:val="0"/>
      <w:divBdr>
        <w:top w:val="none" w:sz="0" w:space="0" w:color="auto"/>
        <w:left w:val="none" w:sz="0" w:space="0" w:color="auto"/>
        <w:bottom w:val="none" w:sz="0" w:space="0" w:color="auto"/>
        <w:right w:val="none" w:sz="0" w:space="0" w:color="auto"/>
      </w:divBdr>
    </w:div>
    <w:div w:id="1600261278">
      <w:bodyDiv w:val="1"/>
      <w:marLeft w:val="0"/>
      <w:marRight w:val="0"/>
      <w:marTop w:val="0"/>
      <w:marBottom w:val="0"/>
      <w:divBdr>
        <w:top w:val="none" w:sz="0" w:space="0" w:color="auto"/>
        <w:left w:val="none" w:sz="0" w:space="0" w:color="auto"/>
        <w:bottom w:val="none" w:sz="0" w:space="0" w:color="auto"/>
        <w:right w:val="none" w:sz="0" w:space="0" w:color="auto"/>
      </w:divBdr>
    </w:div>
    <w:div w:id="1741706522">
      <w:bodyDiv w:val="1"/>
      <w:marLeft w:val="0"/>
      <w:marRight w:val="0"/>
      <w:marTop w:val="0"/>
      <w:marBottom w:val="0"/>
      <w:divBdr>
        <w:top w:val="none" w:sz="0" w:space="0" w:color="auto"/>
        <w:left w:val="none" w:sz="0" w:space="0" w:color="auto"/>
        <w:bottom w:val="none" w:sz="0" w:space="0" w:color="auto"/>
        <w:right w:val="none" w:sz="0" w:space="0" w:color="auto"/>
      </w:divBdr>
    </w:div>
    <w:div w:id="1867908809">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Excel____1.xlsx"/><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package" Target="embeddings/Microsoft_Excel____.xlsx"/></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8ABC7-E9AE-4455-B3AC-222C3F4DA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18</Pages>
  <Words>6023</Words>
  <Characters>893</Characters>
  <Application>Microsoft Office Word</Application>
  <DocSecurity>0</DocSecurity>
  <Lines>7</Lines>
  <Paragraphs>13</Paragraphs>
  <ScaleCrop>false</ScaleCrop>
  <Company/>
  <LinksUpToDate>false</LinksUpToDate>
  <CharactersWithSpaces>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安监局财务科</dc:creator>
  <cp:keywords/>
  <dc:description/>
  <cp:lastModifiedBy>Windows User</cp:lastModifiedBy>
  <cp:revision>26</cp:revision>
  <dcterms:created xsi:type="dcterms:W3CDTF">2020-09-03T08:42:00Z</dcterms:created>
  <dcterms:modified xsi:type="dcterms:W3CDTF">2020-09-07T07:04:00Z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2052-11.1.0.8415</vt:lpwstr>
  </property>
</Properties>
</file>