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呼伦贝尔市人力资源和社会保障局2018年</w:t>
      </w:r>
    </w:p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重点项目预算的绩效目标等级情况说明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呼伦贝尔市财政局：    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呼伦贝尔市人力资源和社会保障局2018年无纳入财政预算的重点项目，包括所属下级单位分别是：市就业服务局、市养老保险事业管理局、市医疗工伤生育失业管理局、市劳动监察支队、市人才流动考试中心、市社会保险公共业务管理中心，所属六家预算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单位均无纳入财政预算的重点项目。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特此说明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2560" w:firstLineChars="8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呼伦贝尔市人力资源和社会保障局</w:t>
      </w:r>
    </w:p>
    <w:p>
      <w:pPr>
        <w:ind w:firstLine="3840" w:firstLineChars="1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667E18"/>
    <w:rsid w:val="4A4D011C"/>
    <w:rsid w:val="611F4113"/>
    <w:rsid w:val="6913793B"/>
    <w:rsid w:val="7B667E1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2019-03-13T07:04:00Z</dcterms:created>
  <dc:creator>512</dc:creator>
  <cp:lastModifiedBy>Administrator</cp:lastModifiedBy>
  <dcterms:modified xsi:type="dcterms:W3CDTF">2019-03-15T02:28:05Z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