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80" w:lineRule="exact"/>
        <w:ind w:left="0" w:right="0" w:firstLine="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auto"/>
          <w:spacing w:val="0"/>
          <w:sz w:val="44"/>
          <w:szCs w:val="44"/>
          <w:shd w:val="clear" w:fill="FFFFFF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auto"/>
          <w:spacing w:val="0"/>
          <w:sz w:val="44"/>
          <w:szCs w:val="44"/>
          <w:shd w:val="clear" w:fill="FFFFFF"/>
          <w:lang w:val="en-US" w:eastAsia="zh-CN"/>
        </w:rPr>
        <w:t>呼伦贝尔经济技术开发区管理委员会</w:t>
      </w:r>
    </w:p>
    <w:p>
      <w:pPr>
        <w:pStyle w:val="6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80" w:lineRule="exact"/>
        <w:ind w:left="0" w:right="0" w:firstLine="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auto"/>
          <w:spacing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auto"/>
          <w:spacing w:val="0"/>
          <w:sz w:val="44"/>
          <w:szCs w:val="44"/>
          <w:shd w:val="clear" w:fill="FFFFFF"/>
          <w:lang w:val="en-US" w:eastAsia="zh-CN"/>
        </w:rPr>
        <w:t>2021年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auto"/>
          <w:spacing w:val="0"/>
          <w:sz w:val="44"/>
          <w:szCs w:val="44"/>
          <w:shd w:val="clear" w:fill="FFFFFF"/>
        </w:rPr>
        <w:t>政府信息公开工作年度报告</w:t>
      </w:r>
    </w:p>
    <w:p>
      <w:pPr>
        <w:pStyle w:val="6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80" w:lineRule="exact"/>
        <w:ind w:left="0" w:right="0" w:firstLine="420"/>
        <w:jc w:val="both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80" w:lineRule="exact"/>
        <w:ind w:left="0" w:right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根据《中华人民共和国政府信息公开条例》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(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以下简称《条例》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)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规定，现公布呼伦贝尔经济技术开发区202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年政府信息公开工作年度报告。本报告包括政府信息公开总体情况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eastAsia="zh-CN"/>
        </w:rPr>
        <w:t>、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主动公开政府信息情况、收到和处理政府信息公开申请情况、因政府信息公开工作被申请行政复议和行政诉讼情况、存在的主要问题及改进情况、其他需要汇报的事项6部分组成。本报告中所列数据统计期限为202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年1月1日至202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年12月31日。本年度报告电子版可以从呼伦贝尔经济技术开发区门户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网站（http://kfq.hlbe.gov.cn/）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下载。如对本年度报告有疑问，请与呼伦贝尔经济技术开发区政务公开工作领导小组办公室联系（地址：呼伦贝尔国家级经济技术开发区管委会办公楼，邮编：021000，电话：0470—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2773823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）。</w:t>
      </w:r>
    </w:p>
    <w:p>
      <w:pPr>
        <w:pStyle w:val="6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80" w:lineRule="exact"/>
        <w:ind w:right="0" w:firstLine="640" w:firstLineChars="200"/>
        <w:jc w:val="both"/>
        <w:textAlignment w:val="auto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一、总体情况</w:t>
      </w:r>
    </w:p>
    <w:p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80" w:lineRule="exact"/>
        <w:ind w:right="0" w:firstLine="640" w:firstLineChars="200"/>
        <w:jc w:val="both"/>
        <w:textAlignment w:val="auto"/>
        <w:rPr>
          <w:rFonts w:hint="eastAsia" w:eastAsiaTheme="minorEastAsia"/>
          <w:lang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202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年呼伦贝尔经济技术开发区政府信息公开工作认真贯彻落实《中华人民共和国政府信息公开条例》，在呼伦贝尔经济技术开发区党工委、管委会的正确领导下，紧密结合经开区中心工作，确定专人负责，加大资金投入，加强业务培训，依法依规推进政府信息公开工作。</w:t>
      </w:r>
    </w:p>
    <w:p>
      <w:pPr>
        <w:pStyle w:val="6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80" w:lineRule="exact"/>
        <w:ind w:right="0" w:firstLine="640" w:firstLineChars="200"/>
        <w:jc w:val="both"/>
        <w:textAlignment w:val="auto"/>
        <w:rPr>
          <w:rFonts w:hint="eastAsia" w:ascii="楷体_GB2312" w:hAnsi="楷体_GB2312" w:eastAsia="楷体_GB2312" w:cs="楷体_GB2312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</w:pPr>
      <w:r>
        <w:rPr>
          <w:rFonts w:hint="eastAsia" w:ascii="楷体_GB2312" w:hAnsi="楷体_GB2312" w:eastAsia="楷体_GB2312" w:cs="楷体_GB2312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（一）主动公开情况</w:t>
      </w:r>
    </w:p>
    <w:p>
      <w:pPr>
        <w:pStyle w:val="6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80" w:lineRule="exact"/>
        <w:ind w:right="0" w:firstLine="643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一是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加强政府信息公开。经开区认真贯彻落实上级政务公开各项决策部署，坚持以“公开为常态、不公开为例外”为原则，深入推进“决策、执行、管理、服务、结果”五公开，加强组织领导，健全完善工作机制，切实主动作为，持续加强政府信息公开力度，扎实推进政府信息公开工作深入开展。2021年主动公开政府信息455条，其中主动公开公文38篇。同时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推进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财政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预决算信息公开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并主动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接受社会监督。公开了呼伦贝尔经济技术开发区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及所属事业单位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202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年度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预算、2020年度决算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及三公经费使用情况。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3" w:firstLineChars="200"/>
        <w:textAlignment w:val="auto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二是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规范政务公开专栏管理。增设“建议提案”栏目；规范依申请公开平台，上线自治区政府网站依申请公开系统；将政务服务专栏与全国一体化在线服务平台同源，实现项目审批、节能审查和企业投资项目备案等业务在经开区网站跳转办理，多个入口一个源头，使政务服务更加系统、便捷。</w:t>
      </w:r>
    </w:p>
    <w:p>
      <w:pPr>
        <w:pStyle w:val="6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80" w:lineRule="exact"/>
        <w:ind w:left="0" w:right="0" w:firstLine="643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kern w:val="2"/>
          <w:sz w:val="32"/>
          <w:szCs w:val="32"/>
          <w:shd w:val="clear" w:fill="FFFFFF"/>
          <w:lang w:val="en-US" w:eastAsia="zh-CN" w:bidi="ar-SA"/>
        </w:rPr>
      </w:pPr>
      <w:r>
        <w:rPr>
          <w:rFonts w:hint="eastAsia" w:ascii="仿宋" w:hAnsi="仿宋" w:eastAsia="仿宋"/>
          <w:b/>
          <w:bCs/>
          <w:sz w:val="32"/>
          <w:szCs w:val="32"/>
          <w:lang w:val="en-US" w:eastAsia="zh-CN"/>
        </w:rPr>
        <w:t>三是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kern w:val="2"/>
          <w:sz w:val="32"/>
          <w:szCs w:val="32"/>
          <w:shd w:val="clear" w:fill="FFFFFF"/>
          <w:lang w:val="en-US" w:eastAsia="zh-CN" w:bidi="ar-SA"/>
        </w:rPr>
        <w:t>完善制度体系。为适应新形势下政务公开工作的各项要求，经开区政务公开领导小组办公室结合实际，公开了《政府信息主动公开制度》《政府信息公开管理动态调整制度》等10余项制度。通过不断健全完善工作制度体系，为政府信息公开工作的顺利开展提供了制度保证，切实推动政务公开工作规范运行。</w:t>
      </w:r>
    </w:p>
    <w:p>
      <w:pPr>
        <w:pStyle w:val="6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80" w:lineRule="exact"/>
        <w:ind w:right="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kern w:val="2"/>
          <w:sz w:val="32"/>
          <w:szCs w:val="32"/>
          <w:shd w:val="clear" w:fill="FFFFFF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kern w:val="2"/>
          <w:sz w:val="32"/>
          <w:szCs w:val="32"/>
          <w:shd w:val="clear" w:fill="FFFFFF"/>
          <w:lang w:val="en-US" w:eastAsia="zh-CN" w:bidi="ar-SA"/>
        </w:rPr>
        <w:t>及时更新了《经开区政府信息公开指南》，确保各公开渠道畅通，为更好地服务公众提供指导、依据。</w:t>
      </w:r>
    </w:p>
    <w:p>
      <w:pPr>
        <w:pStyle w:val="6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80" w:lineRule="exact"/>
        <w:ind w:right="0" w:firstLine="640" w:firstLineChars="200"/>
        <w:jc w:val="both"/>
        <w:textAlignment w:val="auto"/>
        <w:rPr>
          <w:rFonts w:hint="eastAsia" w:ascii="楷体_GB2312" w:hAnsi="楷体_GB2312" w:eastAsia="楷体_GB2312" w:cs="楷体_GB2312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</w:pPr>
      <w:r>
        <w:rPr>
          <w:rFonts w:hint="eastAsia" w:ascii="楷体_GB2312" w:hAnsi="楷体_GB2312" w:eastAsia="楷体_GB2312" w:cs="楷体_GB2312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（二）依申请公开情况</w:t>
      </w:r>
    </w:p>
    <w:p>
      <w:pPr>
        <w:pStyle w:val="6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80" w:lineRule="exact"/>
        <w:ind w:left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根据《条例》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要求及工作实际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，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公开了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《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经开区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政府信息依申请公开制度》，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更新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了依申请公开流程图。202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年度未收到政府信息公开申请及行政复议及行政诉讼。</w:t>
      </w:r>
    </w:p>
    <w:p>
      <w:pPr>
        <w:pStyle w:val="6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80" w:lineRule="exact"/>
        <w:ind w:right="0" w:firstLine="640" w:firstLineChars="200"/>
        <w:jc w:val="both"/>
        <w:textAlignment w:val="auto"/>
        <w:rPr>
          <w:rFonts w:hint="eastAsia" w:ascii="楷体_GB2312" w:hAnsi="楷体_GB2312" w:eastAsia="楷体_GB2312" w:cs="楷体_GB2312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</w:pPr>
      <w:r>
        <w:rPr>
          <w:rFonts w:hint="eastAsia" w:ascii="楷体_GB2312" w:hAnsi="楷体_GB2312" w:eastAsia="楷体_GB2312" w:cs="楷体_GB2312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（三）政府信息管理</w:t>
      </w:r>
    </w:p>
    <w:p>
      <w:pPr>
        <w:pStyle w:val="6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80" w:lineRule="exact"/>
        <w:ind w:left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经开区积极推进门户网站优质规范发展，加强网站内容建设和信息发布审核，加快推进网站集约化建设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eastAsia="zh-CN"/>
        </w:rPr>
        <w:t>。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加强政府信息日常管理，通过统一平台规范发布政府信息（包括索引号、标题、发文字号、发文机关、成文日期等核心元数据）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eastAsia="zh-CN"/>
        </w:rPr>
        <w:t>。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经开区政务公开工作办公室定期将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政务公开纸质档案复印件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归档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备案，对政府信息进行规范管理。</w:t>
      </w:r>
    </w:p>
    <w:p>
      <w:pPr>
        <w:pStyle w:val="6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80" w:lineRule="exact"/>
        <w:ind w:right="0" w:firstLine="640" w:firstLineChars="200"/>
        <w:jc w:val="both"/>
        <w:textAlignment w:val="auto"/>
        <w:rPr>
          <w:rFonts w:hint="eastAsia" w:ascii="楷体_GB2312" w:hAnsi="楷体_GB2312" w:eastAsia="楷体_GB2312" w:cs="楷体_GB2312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</w:pPr>
      <w:r>
        <w:rPr>
          <w:rFonts w:hint="eastAsia" w:ascii="楷体_GB2312" w:hAnsi="楷体_GB2312" w:eastAsia="楷体_GB2312" w:cs="楷体_GB2312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（四）平台建设</w:t>
      </w:r>
    </w:p>
    <w:p>
      <w:pPr>
        <w:pStyle w:val="6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80" w:lineRule="exact"/>
        <w:ind w:left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202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年经开区进一步强化公开平台建设，增强政府信息公开工作支撑保障能力。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一是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丰富载体，拓宽信息公开渠道。经开区充分利用微信公众号等新媒体，积极及时推送经开区政务信息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eastAsia="zh-CN"/>
        </w:rPr>
        <w:t>。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2021年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微信公众号发布信息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135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条。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二是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加强网站常态化检测。完成了经开区门户网站等级安全保护二级检查备案工作，与网络公司签署经开区网站维护合同，进一步增强了门户网站的安全维护能力。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三是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积极对接市政府工作，开展全市网站集约化和网站考核工作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。</w:t>
      </w:r>
    </w:p>
    <w:p>
      <w:pPr>
        <w:pStyle w:val="6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80" w:lineRule="exact"/>
        <w:ind w:right="0" w:firstLine="640" w:firstLineChars="200"/>
        <w:jc w:val="both"/>
        <w:textAlignment w:val="auto"/>
        <w:rPr>
          <w:rFonts w:hint="eastAsia" w:ascii="楷体_GB2312" w:hAnsi="楷体_GB2312" w:eastAsia="楷体_GB2312" w:cs="楷体_GB2312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</w:pPr>
      <w:r>
        <w:rPr>
          <w:rFonts w:hint="eastAsia" w:ascii="楷体_GB2312" w:hAnsi="楷体_GB2312" w:eastAsia="楷体_GB2312" w:cs="楷体_GB2312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（五）监督保障</w:t>
      </w:r>
    </w:p>
    <w:p>
      <w:pPr>
        <w:pStyle w:val="6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80" w:lineRule="exact"/>
        <w:ind w:left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通过开展考核、组织培训等方式，加强组织领导，压实工作责任，推动经开区政务公开工作水平进一步提升。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一是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注重队伍建设。切实加强组织领导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eastAsia="zh-CN"/>
        </w:rPr>
        <w:t>，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坚持主要领导亲自抓、分管领导具体抓，为政府信息公开工作整体推进明确了目标，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厘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清了方向。同时，列支专项经费用于政务公开工作，积极安排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政务公开工作人员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参加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政府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信息公开培训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eastAsia="zh-CN"/>
        </w:rPr>
        <w:t>，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印制政务公开工作资料汇编，为各局办开展政务公开工作提供政策、业务参考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。</w:t>
      </w:r>
    </w:p>
    <w:p>
      <w:pPr>
        <w:pStyle w:val="6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80" w:lineRule="exact"/>
        <w:ind w:left="0" w:right="0" w:firstLine="643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二是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建立有效考核机制。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制定《经开区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政务公开考核制度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》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eastAsia="zh-CN"/>
        </w:rPr>
        <w:t>，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将政务公开工作纳入经开区年度考核工作，分值权重占到了4%，进一步提高了各部门对政务公开工作的重视程度，确保政务公开工作抓实抓细。</w:t>
      </w:r>
    </w:p>
    <w:p>
      <w:pPr>
        <w:pStyle w:val="6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80" w:lineRule="exact"/>
        <w:ind w:left="0" w:right="0" w:firstLine="643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三是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制定了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社会评议和责任追究制度，2021年未发生违反政府信息公开规定行为。</w:t>
      </w:r>
    </w:p>
    <w:p>
      <w:pPr>
        <w:pStyle w:val="6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80" w:lineRule="exact"/>
        <w:ind w:right="0" w:firstLine="640" w:firstLineChars="200"/>
        <w:jc w:val="both"/>
        <w:textAlignment w:val="auto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二、主动公开政府信息情况</w:t>
      </w:r>
    </w:p>
    <w:p>
      <w:pPr>
        <w:pStyle w:val="6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80" w:lineRule="exact"/>
        <w:ind w:left="0" w:right="0" w:firstLine="420"/>
        <w:jc w:val="both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</w:rPr>
      </w:pPr>
    </w:p>
    <w:tbl>
      <w:tblPr>
        <w:tblStyle w:val="7"/>
        <w:tblW w:w="974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435"/>
        <w:gridCol w:w="2435"/>
        <w:gridCol w:w="2435"/>
        <w:gridCol w:w="243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第二十条第（一）项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本年制发件数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本年废止件数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现行有效件数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left"/>
              <w:textAlignment w:val="auto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规章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rFonts w:hint="default"/>
                <w:color w:val="auto"/>
                <w:lang w:val="en-US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rFonts w:hint="default"/>
                <w:color w:val="auto"/>
                <w:lang w:val="en-US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rFonts w:hint="default"/>
                <w:color w:val="auto"/>
                <w:lang w:val="en-US"/>
              </w:rPr>
            </w:pPr>
            <w:r>
              <w:rPr>
                <w:rFonts w:hint="eastAsia" w:ascii="Calibri" w:hAnsi="Calibri" w:cs="Calibri"/>
                <w:color w:val="auto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left"/>
              <w:textAlignment w:val="auto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行政规范性文件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rFonts w:hint="default"/>
                <w:color w:val="auto"/>
                <w:lang w:val="en-US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rFonts w:hint="default"/>
                <w:color w:val="auto"/>
                <w:lang w:val="en-US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rFonts w:hint="default"/>
                <w:color w:val="auto"/>
                <w:lang w:val="en-US"/>
              </w:rPr>
            </w:pPr>
            <w:r>
              <w:rPr>
                <w:rFonts w:hint="eastAsia" w:ascii="Calibri" w:hAnsi="Calibri" w:cs="Calibri"/>
                <w:color w:val="auto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第二十条第（五）项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本年处理决定数量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left"/>
              <w:textAlignment w:val="auto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行政许可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rFonts w:hint="default"/>
                <w:color w:val="auto"/>
                <w:lang w:val="en-US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第二十条第（六）项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本年处理决定数量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left"/>
              <w:textAlignment w:val="auto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行政处罚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rFonts w:hint="default"/>
                <w:color w:val="auto"/>
                <w:lang w:val="en-US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left"/>
              <w:textAlignment w:val="auto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行政强制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rFonts w:hint="default"/>
                <w:color w:val="auto"/>
                <w:lang w:val="en-US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第二十条第（八）项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本年收费金额（单位：万元）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left"/>
              <w:textAlignment w:val="auto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行政事业性收费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Fonts w:hint="eastAsia" w:ascii="宋体" w:eastAsia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color w:val="auto"/>
                <w:sz w:val="24"/>
                <w:szCs w:val="24"/>
                <w:lang w:val="en-US" w:eastAsia="zh-CN"/>
              </w:rPr>
              <w:t>0</w:t>
            </w:r>
          </w:p>
        </w:tc>
      </w:tr>
    </w:tbl>
    <w:p>
      <w:pPr>
        <w:pStyle w:val="6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80" w:lineRule="exact"/>
        <w:ind w:right="0" w:firstLine="640" w:firstLineChars="200"/>
        <w:jc w:val="both"/>
        <w:textAlignment w:val="auto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</w:pPr>
    </w:p>
    <w:p>
      <w:pPr>
        <w:pStyle w:val="6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80" w:lineRule="exact"/>
        <w:ind w:right="0" w:firstLine="640" w:firstLineChars="200"/>
        <w:jc w:val="both"/>
        <w:textAlignment w:val="auto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三、收到和处理政府信息公开申请情况</w:t>
      </w:r>
    </w:p>
    <w:p>
      <w:pPr>
        <w:pStyle w:val="6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80" w:lineRule="exact"/>
        <w:ind w:left="0" w:right="0" w:firstLine="420"/>
        <w:jc w:val="both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</w:rPr>
      </w:pPr>
    </w:p>
    <w:tbl>
      <w:tblPr>
        <w:tblStyle w:val="7"/>
        <w:tblW w:w="9748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68"/>
        <w:gridCol w:w="943"/>
        <w:gridCol w:w="3220"/>
        <w:gridCol w:w="688"/>
        <w:gridCol w:w="688"/>
        <w:gridCol w:w="688"/>
        <w:gridCol w:w="688"/>
        <w:gridCol w:w="688"/>
        <w:gridCol w:w="688"/>
        <w:gridCol w:w="689"/>
      </w:tblGrid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931" w:type="dxa"/>
            <w:gridSpan w:val="3"/>
            <w:vMerge w:val="restart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left"/>
              <w:textAlignment w:val="auto"/>
              <w:rPr>
                <w:color w:val="auto"/>
              </w:rPr>
            </w:pPr>
            <w:r>
              <w:rPr>
                <w:rFonts w:ascii="楷体" w:hAnsi="楷体" w:eastAsia="楷体" w:cs="楷体"/>
                <w:color w:val="auto"/>
                <w:kern w:val="0"/>
                <w:sz w:val="20"/>
                <w:szCs w:val="20"/>
                <w:lang w:val="en-US" w:eastAsia="zh-CN" w:bidi="ar"/>
              </w:rPr>
              <w:t>（本列数据的勾稽关系为：第一项加第二项之和，等于第三项加第四项之和）</w:t>
            </w:r>
          </w:p>
        </w:tc>
        <w:tc>
          <w:tcPr>
            <w:tcW w:w="4817" w:type="dxa"/>
            <w:gridSpan w:val="7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申请人情况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931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textAlignment w:val="auto"/>
              <w:rPr>
                <w:rFonts w:hint="eastAsia" w:ascii="宋体"/>
                <w:color w:val="auto"/>
                <w:sz w:val="24"/>
                <w:szCs w:val="24"/>
              </w:rPr>
            </w:pPr>
          </w:p>
        </w:tc>
        <w:tc>
          <w:tcPr>
            <w:tcW w:w="688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自然人</w:t>
            </w:r>
          </w:p>
        </w:tc>
        <w:tc>
          <w:tcPr>
            <w:tcW w:w="3440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法人或其他组织</w:t>
            </w:r>
          </w:p>
        </w:tc>
        <w:tc>
          <w:tcPr>
            <w:tcW w:w="689" w:type="dxa"/>
            <w:vMerge w:val="restart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931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textAlignment w:val="auto"/>
              <w:rPr>
                <w:rFonts w:hint="eastAsia" w:ascii="宋体"/>
                <w:color w:val="auto"/>
                <w:sz w:val="24"/>
                <w:szCs w:val="24"/>
              </w:rPr>
            </w:pPr>
          </w:p>
        </w:tc>
        <w:tc>
          <w:tcPr>
            <w:tcW w:w="688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textAlignment w:val="auto"/>
              <w:rPr>
                <w:rFonts w:hint="eastAsia" w:ascii="宋体"/>
                <w:color w:val="auto"/>
                <w:sz w:val="24"/>
                <w:szCs w:val="24"/>
              </w:rPr>
            </w:pP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商业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企业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科研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机构</w:t>
            </w:r>
          </w:p>
        </w:tc>
        <w:tc>
          <w:tcPr>
            <w:tcW w:w="68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社会公益组织</w:t>
            </w:r>
          </w:p>
        </w:tc>
        <w:tc>
          <w:tcPr>
            <w:tcW w:w="68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法律服务机构</w:t>
            </w:r>
          </w:p>
        </w:tc>
        <w:tc>
          <w:tcPr>
            <w:tcW w:w="68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其他</w:t>
            </w:r>
          </w:p>
        </w:tc>
        <w:tc>
          <w:tcPr>
            <w:tcW w:w="689" w:type="dxa"/>
            <w:vMerge w:val="continue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textAlignment w:val="auto"/>
              <w:rPr>
                <w:rFonts w:hint="eastAsia" w:ascii="宋体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931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left"/>
              <w:textAlignment w:val="auto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一、本年新收政府信息公开申请数量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rFonts w:hint="default"/>
                <w:color w:val="auto"/>
                <w:lang w:val="en-US"/>
              </w:rPr>
            </w:pP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color w:val="auto"/>
              </w:rPr>
            </w:pP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color w:val="auto"/>
              </w:rPr>
            </w:pP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color w:val="auto"/>
              </w:rPr>
            </w:pP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color w:val="auto"/>
              </w:rPr>
            </w:pP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color w:val="auto"/>
              </w:rPr>
            </w:pP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color w:val="auto"/>
              </w:rPr>
            </w:pP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931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left"/>
              <w:textAlignment w:val="auto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二、上年结转政府信息公开申请数量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rFonts w:hint="default"/>
                <w:color w:val="auto"/>
                <w:lang w:val="en-US"/>
              </w:rPr>
            </w:pP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color w:val="auto"/>
              </w:rPr>
            </w:pP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color w:val="auto"/>
              </w:rPr>
            </w:pP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rFonts w:hint="default"/>
                <w:color w:val="auto"/>
                <w:lang w:val="en-US"/>
              </w:rPr>
            </w:pP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color w:val="auto"/>
              </w:rPr>
            </w:pP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color w:val="auto"/>
              </w:rPr>
            </w:pP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color w:val="auto"/>
              </w:rPr>
            </w:pP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restart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left"/>
              <w:textAlignment w:val="auto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三、本年度办理结果</w:t>
            </w:r>
          </w:p>
        </w:tc>
        <w:tc>
          <w:tcPr>
            <w:tcW w:w="4163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left"/>
              <w:textAlignment w:val="auto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（一）予以公开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rFonts w:hint="default"/>
                <w:color w:val="auto"/>
                <w:lang w:val="en-US"/>
              </w:rPr>
            </w:pP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color w:val="auto"/>
              </w:rPr>
            </w:pP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rFonts w:hint="default"/>
                <w:color w:val="auto"/>
                <w:lang w:val="en-US"/>
              </w:rPr>
            </w:pP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color w:val="auto"/>
              </w:rPr>
            </w:pP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color w:val="auto"/>
              </w:rPr>
            </w:pP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color w:val="auto"/>
              </w:rPr>
            </w:pP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color w:val="auto"/>
              </w:rPr>
            </w:pP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textAlignment w:val="auto"/>
              <w:rPr>
                <w:rFonts w:hint="eastAsia" w:ascii="宋体"/>
                <w:color w:val="auto"/>
                <w:sz w:val="24"/>
                <w:szCs w:val="24"/>
              </w:rPr>
            </w:pPr>
          </w:p>
        </w:tc>
        <w:tc>
          <w:tcPr>
            <w:tcW w:w="4163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left"/>
              <w:textAlignment w:val="auto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（二）部分公开</w:t>
            </w:r>
            <w:r>
              <w:rPr>
                <w:rFonts w:hint="eastAsia" w:ascii="楷体" w:hAnsi="楷体" w:eastAsia="楷体" w:cs="楷体"/>
                <w:color w:val="auto"/>
                <w:kern w:val="0"/>
                <w:sz w:val="20"/>
                <w:szCs w:val="20"/>
                <w:lang w:val="en-US" w:eastAsia="zh-CN" w:bidi="ar"/>
              </w:rPr>
              <w:t>（区分处理的，只计这一情形，不计其他情形）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rFonts w:hint="default"/>
                <w:color w:val="auto"/>
                <w:lang w:val="en-US"/>
              </w:rPr>
            </w:pP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color w:val="auto"/>
              </w:rPr>
            </w:pP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rFonts w:hint="default"/>
                <w:color w:val="auto"/>
                <w:lang w:val="en-US"/>
              </w:rPr>
            </w:pP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rFonts w:hint="default"/>
                <w:color w:val="auto"/>
                <w:lang w:val="en-US"/>
              </w:rPr>
            </w:pP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color w:val="auto"/>
              </w:rPr>
            </w:pP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rFonts w:hint="default"/>
                <w:color w:val="auto"/>
                <w:lang w:val="en-US"/>
              </w:rPr>
            </w:pP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color w:val="auto"/>
              </w:rPr>
            </w:pP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textAlignment w:val="auto"/>
              <w:rPr>
                <w:rFonts w:hint="eastAsia" w:ascii="宋体"/>
                <w:color w:val="auto"/>
                <w:sz w:val="24"/>
                <w:szCs w:val="24"/>
              </w:rPr>
            </w:pPr>
          </w:p>
        </w:tc>
        <w:tc>
          <w:tcPr>
            <w:tcW w:w="943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left"/>
              <w:textAlignment w:val="auto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（三）不予公开</w:t>
            </w: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left"/>
              <w:textAlignment w:val="auto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1.属于国家秘密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color w:val="auto"/>
              </w:rPr>
            </w:pP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color w:val="auto"/>
              </w:rPr>
            </w:pP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color w:val="auto"/>
              </w:rPr>
            </w:pP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rFonts w:hint="default"/>
                <w:color w:val="auto"/>
                <w:lang w:val="en-US"/>
              </w:rPr>
            </w:pP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rFonts w:hint="default"/>
                <w:color w:val="auto"/>
                <w:lang w:val="en-US"/>
              </w:rPr>
            </w:pP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rFonts w:hint="default"/>
                <w:color w:val="auto"/>
                <w:lang w:val="en-US"/>
              </w:rPr>
            </w:pP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rFonts w:hint="default"/>
                <w:color w:val="auto"/>
                <w:lang w:val="en-US"/>
              </w:rPr>
            </w:pP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textAlignment w:val="auto"/>
              <w:rPr>
                <w:rFonts w:hint="eastAsia" w:ascii="宋体"/>
                <w:color w:val="auto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textAlignment w:val="auto"/>
              <w:rPr>
                <w:rFonts w:hint="eastAsia" w:ascii="宋体"/>
                <w:color w:val="auto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left"/>
              <w:textAlignment w:val="auto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2.其他法律行政法规禁止公开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rFonts w:hint="default"/>
                <w:color w:val="auto"/>
                <w:lang w:val="en-US"/>
              </w:rPr>
            </w:pP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color w:val="auto"/>
              </w:rPr>
            </w:pP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rFonts w:hint="default"/>
                <w:color w:val="auto"/>
                <w:lang w:val="en-US"/>
              </w:rPr>
            </w:pP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rFonts w:hint="default"/>
                <w:color w:val="auto"/>
                <w:lang w:val="en-US"/>
              </w:rPr>
            </w:pP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color w:val="auto"/>
              </w:rPr>
            </w:pP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color w:val="auto"/>
              </w:rPr>
            </w:pP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color w:val="auto"/>
              </w:rPr>
            </w:pP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textAlignment w:val="auto"/>
              <w:rPr>
                <w:rFonts w:hint="eastAsia" w:ascii="宋体"/>
                <w:color w:val="auto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textAlignment w:val="auto"/>
              <w:rPr>
                <w:rFonts w:hint="eastAsia" w:ascii="宋体"/>
                <w:color w:val="auto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left"/>
              <w:textAlignment w:val="auto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3.危及“三安全一稳定”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color w:val="auto"/>
              </w:rPr>
            </w:pP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color w:val="auto"/>
              </w:rPr>
            </w:pP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rFonts w:hint="default"/>
                <w:color w:val="auto"/>
                <w:lang w:val="en-US"/>
              </w:rPr>
            </w:pP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color w:val="auto"/>
              </w:rPr>
            </w:pP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rFonts w:hint="default"/>
                <w:color w:val="auto"/>
                <w:lang w:val="en-US"/>
              </w:rPr>
            </w:pP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rFonts w:hint="default"/>
                <w:color w:val="auto"/>
                <w:lang w:val="en-US"/>
              </w:rPr>
            </w:pP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color w:val="auto"/>
              </w:rPr>
            </w:pP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textAlignment w:val="auto"/>
              <w:rPr>
                <w:rFonts w:hint="eastAsia" w:ascii="宋体"/>
                <w:color w:val="auto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textAlignment w:val="auto"/>
              <w:rPr>
                <w:rFonts w:hint="eastAsia" w:ascii="宋体"/>
                <w:color w:val="auto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left"/>
              <w:textAlignment w:val="auto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4.保护第三方合法权益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rFonts w:hint="default"/>
                <w:color w:val="auto"/>
                <w:lang w:val="en-US"/>
              </w:rPr>
            </w:pP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color w:val="auto"/>
              </w:rPr>
            </w:pP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rFonts w:hint="default"/>
                <w:color w:val="auto"/>
                <w:lang w:val="en-US"/>
              </w:rPr>
            </w:pP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rFonts w:hint="default"/>
                <w:color w:val="auto"/>
                <w:lang w:val="en-US"/>
              </w:rPr>
            </w:pP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rFonts w:hint="default"/>
                <w:color w:val="auto"/>
                <w:lang w:val="en-US"/>
              </w:rPr>
            </w:pP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rFonts w:hint="default"/>
                <w:color w:val="auto"/>
                <w:lang w:val="en-US"/>
              </w:rPr>
            </w:pP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rFonts w:hint="default"/>
                <w:color w:val="auto"/>
                <w:lang w:val="en-US"/>
              </w:rPr>
            </w:pP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textAlignment w:val="auto"/>
              <w:rPr>
                <w:rFonts w:hint="eastAsia" w:ascii="宋体"/>
                <w:color w:val="auto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textAlignment w:val="auto"/>
              <w:rPr>
                <w:rFonts w:hint="eastAsia" w:ascii="宋体"/>
                <w:color w:val="auto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left"/>
              <w:textAlignment w:val="auto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5.属于三类内部事务信息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rFonts w:hint="default"/>
                <w:color w:val="auto"/>
                <w:lang w:val="en-US"/>
              </w:rPr>
            </w:pP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color w:val="auto"/>
              </w:rPr>
            </w:pP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rFonts w:hint="default"/>
                <w:color w:val="auto"/>
                <w:lang w:val="en-US"/>
              </w:rPr>
            </w:pP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color w:val="auto"/>
              </w:rPr>
            </w:pP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rFonts w:hint="default"/>
                <w:color w:val="auto"/>
                <w:lang w:val="en-US"/>
              </w:rPr>
            </w:pP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color w:val="auto"/>
              </w:rPr>
            </w:pP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color w:val="auto"/>
              </w:rPr>
            </w:pP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textAlignment w:val="auto"/>
              <w:rPr>
                <w:rFonts w:hint="eastAsia" w:ascii="宋体"/>
                <w:color w:val="auto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textAlignment w:val="auto"/>
              <w:rPr>
                <w:rFonts w:hint="eastAsia" w:ascii="宋体"/>
                <w:color w:val="auto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left"/>
              <w:textAlignment w:val="auto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6.属于四类过程性信息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color w:val="auto"/>
              </w:rPr>
            </w:pP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rFonts w:hint="default"/>
                <w:color w:val="auto"/>
                <w:lang w:val="en-US"/>
              </w:rPr>
            </w:pP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color w:val="auto"/>
              </w:rPr>
            </w:pP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color w:val="auto"/>
              </w:rPr>
            </w:pP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rFonts w:hint="default"/>
                <w:color w:val="auto"/>
                <w:lang w:val="en-US"/>
              </w:rPr>
            </w:pP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rFonts w:hint="default"/>
                <w:color w:val="auto"/>
                <w:lang w:val="en-US"/>
              </w:rPr>
            </w:pP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color w:val="auto"/>
              </w:rPr>
            </w:pP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textAlignment w:val="auto"/>
              <w:rPr>
                <w:rFonts w:hint="eastAsia" w:ascii="宋体"/>
                <w:color w:val="auto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textAlignment w:val="auto"/>
              <w:rPr>
                <w:rFonts w:hint="eastAsia" w:ascii="宋体"/>
                <w:color w:val="auto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left"/>
              <w:textAlignment w:val="auto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7.属于行政执法案卷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rFonts w:hint="default"/>
                <w:color w:val="auto"/>
                <w:lang w:val="en-US"/>
              </w:rPr>
            </w:pP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color w:val="auto"/>
              </w:rPr>
            </w:pP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color w:val="auto"/>
              </w:rPr>
            </w:pP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rFonts w:hint="default"/>
                <w:color w:val="auto"/>
                <w:lang w:val="en-US"/>
              </w:rPr>
            </w:pP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color w:val="auto"/>
              </w:rPr>
            </w:pP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color w:val="auto"/>
              </w:rPr>
            </w:pP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rFonts w:hint="default"/>
                <w:color w:val="auto"/>
                <w:lang w:val="en-US"/>
              </w:rPr>
            </w:pP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textAlignment w:val="auto"/>
              <w:rPr>
                <w:rFonts w:hint="eastAsia" w:ascii="宋体"/>
                <w:color w:val="auto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textAlignment w:val="auto"/>
              <w:rPr>
                <w:rFonts w:hint="eastAsia" w:ascii="宋体"/>
                <w:color w:val="auto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left"/>
              <w:textAlignment w:val="auto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8.属于行政查询事项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color w:val="auto"/>
              </w:rPr>
            </w:pP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color w:val="auto"/>
              </w:rPr>
            </w:pP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color w:val="auto"/>
              </w:rPr>
            </w:pP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rFonts w:hint="default"/>
                <w:color w:val="auto"/>
                <w:lang w:val="en-US"/>
              </w:rPr>
            </w:pP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color w:val="auto"/>
              </w:rPr>
            </w:pP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color w:val="auto"/>
              </w:rPr>
            </w:pP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color w:val="auto"/>
              </w:rPr>
            </w:pP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textAlignment w:val="auto"/>
              <w:rPr>
                <w:rFonts w:hint="eastAsia" w:ascii="宋体"/>
                <w:color w:val="auto"/>
                <w:sz w:val="24"/>
                <w:szCs w:val="24"/>
              </w:rPr>
            </w:pPr>
          </w:p>
        </w:tc>
        <w:tc>
          <w:tcPr>
            <w:tcW w:w="943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left"/>
              <w:textAlignment w:val="auto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（四）无法提供</w:t>
            </w: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left"/>
              <w:textAlignment w:val="auto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1.本机关不掌握相关政府信息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color w:val="auto"/>
              </w:rPr>
            </w:pP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color w:val="auto"/>
              </w:rPr>
            </w:pP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rFonts w:hint="default"/>
                <w:color w:val="auto"/>
                <w:lang w:val="en-US"/>
              </w:rPr>
            </w:pP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rFonts w:hint="default"/>
                <w:color w:val="auto"/>
                <w:lang w:val="en-US"/>
              </w:rPr>
            </w:pP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rFonts w:hint="default"/>
                <w:color w:val="auto"/>
                <w:lang w:val="en-US"/>
              </w:rPr>
            </w:pP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rFonts w:hint="default"/>
                <w:color w:val="auto"/>
                <w:lang w:val="en-US"/>
              </w:rPr>
            </w:pP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color w:val="auto"/>
              </w:rPr>
            </w:pP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textAlignment w:val="auto"/>
              <w:rPr>
                <w:rFonts w:hint="eastAsia" w:ascii="宋体"/>
                <w:color w:val="auto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textAlignment w:val="auto"/>
              <w:rPr>
                <w:rFonts w:hint="eastAsia" w:ascii="宋体"/>
                <w:color w:val="auto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left"/>
              <w:textAlignment w:val="auto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2.没有现成信息需要另行制作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rFonts w:hint="default"/>
                <w:color w:val="auto"/>
                <w:lang w:val="en-US"/>
              </w:rPr>
            </w:pP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color w:val="auto"/>
              </w:rPr>
            </w:pP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rFonts w:hint="default"/>
                <w:color w:val="auto"/>
                <w:lang w:val="en-US"/>
              </w:rPr>
            </w:pP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rFonts w:hint="default"/>
                <w:color w:val="auto"/>
                <w:lang w:val="en-US"/>
              </w:rPr>
            </w:pP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color w:val="auto"/>
              </w:rPr>
            </w:pP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rFonts w:hint="default"/>
                <w:color w:val="auto"/>
                <w:lang w:val="en-US"/>
              </w:rPr>
            </w:pP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rFonts w:hint="default"/>
                <w:color w:val="auto"/>
                <w:lang w:val="en-US"/>
              </w:rPr>
            </w:pP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textAlignment w:val="auto"/>
              <w:rPr>
                <w:rFonts w:hint="eastAsia" w:ascii="宋体"/>
                <w:color w:val="auto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textAlignment w:val="auto"/>
              <w:rPr>
                <w:rFonts w:hint="eastAsia" w:ascii="宋体"/>
                <w:color w:val="auto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left"/>
              <w:textAlignment w:val="auto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3.补正后申请内容仍不明确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color w:val="auto"/>
              </w:rPr>
            </w:pP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rFonts w:hint="default"/>
                <w:color w:val="auto"/>
                <w:lang w:val="en-US"/>
              </w:rPr>
            </w:pP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color w:val="auto"/>
              </w:rPr>
            </w:pP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rFonts w:hint="default"/>
                <w:color w:val="auto"/>
                <w:lang w:val="en-US"/>
              </w:rPr>
            </w:pP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rFonts w:hint="default"/>
                <w:color w:val="auto"/>
                <w:lang w:val="en-US"/>
              </w:rPr>
            </w:pP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rFonts w:hint="default"/>
                <w:color w:val="auto"/>
                <w:lang w:val="en-US"/>
              </w:rPr>
            </w:pP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color w:val="auto"/>
              </w:rPr>
            </w:pP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textAlignment w:val="auto"/>
              <w:rPr>
                <w:rFonts w:hint="eastAsia" w:ascii="宋体"/>
                <w:color w:val="auto"/>
                <w:sz w:val="24"/>
                <w:szCs w:val="24"/>
              </w:rPr>
            </w:pPr>
          </w:p>
        </w:tc>
        <w:tc>
          <w:tcPr>
            <w:tcW w:w="943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left"/>
              <w:textAlignment w:val="auto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（五）不予处理</w:t>
            </w: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left"/>
              <w:textAlignment w:val="auto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1.信访举报投诉类申请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leftChars="0" w:right="0" w:rightChars="0" w:firstLine="0" w:firstLineChars="0"/>
              <w:jc w:val="center"/>
              <w:textAlignment w:val="auto"/>
              <w:rPr>
                <w:rFonts w:asciiTheme="minorHAnsi" w:hAnsiTheme="minorHAnsi" w:eastAsiaTheme="minorEastAsia" w:cstheme="minorBidi"/>
                <w:color w:val="auto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leftChars="0" w:right="0" w:rightChars="0" w:firstLine="0" w:firstLineChars="0"/>
              <w:jc w:val="center"/>
              <w:textAlignment w:val="auto"/>
              <w:rPr>
                <w:rFonts w:asciiTheme="minorHAnsi" w:hAnsiTheme="minorHAnsi" w:eastAsiaTheme="minorEastAsia" w:cstheme="minorBidi"/>
                <w:color w:val="auto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Theme="minorHAnsi" w:hAnsiTheme="minorHAnsi" w:eastAsiaTheme="minorEastAsia" w:cstheme="minorBidi"/>
                <w:color w:val="auto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Theme="minorHAnsi" w:hAnsiTheme="minorHAnsi" w:eastAsiaTheme="minorEastAsia" w:cstheme="minorBidi"/>
                <w:color w:val="auto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Theme="minorHAnsi" w:hAnsiTheme="minorHAnsi" w:eastAsiaTheme="minorEastAsia" w:cstheme="minorBidi"/>
                <w:color w:val="auto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Theme="minorHAnsi" w:hAnsiTheme="minorHAnsi" w:eastAsiaTheme="minorEastAsia" w:cstheme="minorBidi"/>
                <w:color w:val="auto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leftChars="0" w:right="0" w:rightChars="0" w:firstLine="0" w:firstLineChars="0"/>
              <w:jc w:val="center"/>
              <w:textAlignment w:val="auto"/>
              <w:rPr>
                <w:rFonts w:asciiTheme="minorHAnsi" w:hAnsiTheme="minorHAnsi" w:eastAsiaTheme="minorEastAsia" w:cstheme="minorBidi"/>
                <w:color w:val="auto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textAlignment w:val="auto"/>
              <w:rPr>
                <w:rFonts w:hint="eastAsia" w:ascii="宋体"/>
                <w:color w:val="auto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textAlignment w:val="auto"/>
              <w:rPr>
                <w:rFonts w:hint="eastAsia" w:ascii="宋体"/>
                <w:color w:val="auto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left"/>
              <w:textAlignment w:val="auto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2.重复申请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Theme="minorHAnsi" w:hAnsiTheme="minorHAnsi" w:eastAsiaTheme="minorEastAsia" w:cstheme="minorBidi"/>
                <w:color w:val="auto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leftChars="0" w:right="0" w:rightChars="0" w:firstLine="0" w:firstLineChars="0"/>
              <w:jc w:val="center"/>
              <w:textAlignment w:val="auto"/>
              <w:rPr>
                <w:rFonts w:asciiTheme="minorHAnsi" w:hAnsiTheme="minorHAnsi" w:eastAsiaTheme="minorEastAsia" w:cstheme="minorBidi"/>
                <w:color w:val="auto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Theme="minorHAnsi" w:hAnsiTheme="minorHAnsi" w:eastAsiaTheme="minorEastAsia" w:cstheme="minorBidi"/>
                <w:color w:val="auto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Theme="minorHAnsi" w:hAnsiTheme="minorHAnsi" w:eastAsiaTheme="minorEastAsia" w:cstheme="minorBidi"/>
                <w:color w:val="auto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leftChars="0" w:right="0" w:rightChars="0" w:firstLine="0" w:firstLineChars="0"/>
              <w:jc w:val="center"/>
              <w:textAlignment w:val="auto"/>
              <w:rPr>
                <w:rFonts w:asciiTheme="minorHAnsi" w:hAnsiTheme="minorHAnsi" w:eastAsiaTheme="minorEastAsia" w:cstheme="minorBidi"/>
                <w:color w:val="auto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Theme="minorHAnsi" w:hAnsiTheme="minorHAnsi" w:eastAsiaTheme="minorEastAsia" w:cstheme="minorBidi"/>
                <w:color w:val="auto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Theme="minorHAnsi" w:hAnsiTheme="minorHAnsi" w:eastAsiaTheme="minorEastAsia" w:cstheme="minorBidi"/>
                <w:color w:val="auto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textAlignment w:val="auto"/>
              <w:rPr>
                <w:rFonts w:hint="eastAsia" w:ascii="宋体"/>
                <w:color w:val="auto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textAlignment w:val="auto"/>
              <w:rPr>
                <w:rFonts w:hint="eastAsia" w:ascii="宋体"/>
                <w:color w:val="auto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left"/>
              <w:textAlignment w:val="auto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3.要求提供公开出版物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leftChars="0" w:right="0" w:rightChars="0" w:firstLine="0" w:firstLineChars="0"/>
              <w:jc w:val="center"/>
              <w:textAlignment w:val="auto"/>
              <w:rPr>
                <w:rFonts w:asciiTheme="minorHAnsi" w:hAnsiTheme="minorHAnsi" w:eastAsiaTheme="minorEastAsia" w:cstheme="minorBidi"/>
                <w:color w:val="auto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Theme="minorHAnsi" w:hAnsiTheme="minorHAnsi" w:eastAsiaTheme="minorEastAsia" w:cstheme="minorBidi"/>
                <w:color w:val="auto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leftChars="0" w:right="0" w:rightChars="0" w:firstLine="0" w:firstLineChars="0"/>
              <w:jc w:val="center"/>
              <w:textAlignment w:val="auto"/>
              <w:rPr>
                <w:rFonts w:asciiTheme="minorHAnsi" w:hAnsiTheme="minorHAnsi" w:eastAsiaTheme="minorEastAsia" w:cstheme="minorBidi"/>
                <w:color w:val="auto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Theme="minorHAnsi" w:hAnsiTheme="minorHAnsi" w:eastAsiaTheme="minorEastAsia" w:cstheme="minorBidi"/>
                <w:color w:val="auto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Theme="minorHAnsi" w:hAnsiTheme="minorHAnsi" w:eastAsiaTheme="minorEastAsia" w:cstheme="minorBidi"/>
                <w:color w:val="auto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Theme="minorHAnsi" w:hAnsiTheme="minorHAnsi" w:eastAsiaTheme="minorEastAsia" w:cstheme="minorBidi"/>
                <w:color w:val="auto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leftChars="0" w:right="0" w:rightChars="0" w:firstLine="0" w:firstLineChars="0"/>
              <w:jc w:val="center"/>
              <w:textAlignment w:val="auto"/>
              <w:rPr>
                <w:rFonts w:asciiTheme="minorHAnsi" w:hAnsiTheme="minorHAnsi" w:eastAsiaTheme="minorEastAsia" w:cstheme="minorBidi"/>
                <w:color w:val="auto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textAlignment w:val="auto"/>
              <w:rPr>
                <w:rFonts w:hint="eastAsia" w:ascii="宋体"/>
                <w:color w:val="auto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textAlignment w:val="auto"/>
              <w:rPr>
                <w:rFonts w:hint="eastAsia" w:ascii="宋体"/>
                <w:color w:val="auto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left"/>
              <w:textAlignment w:val="auto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4.无正当理由大量反复申请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leftChars="0" w:right="0" w:rightChars="0" w:firstLine="0" w:firstLineChars="0"/>
              <w:jc w:val="center"/>
              <w:textAlignment w:val="auto"/>
              <w:rPr>
                <w:rFonts w:asciiTheme="minorHAnsi" w:hAnsiTheme="minorHAnsi" w:eastAsiaTheme="minorEastAsia" w:cstheme="minorBidi"/>
                <w:color w:val="auto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leftChars="0" w:right="0" w:rightChars="0" w:firstLine="0" w:firstLineChars="0"/>
              <w:jc w:val="center"/>
              <w:textAlignment w:val="auto"/>
              <w:rPr>
                <w:rFonts w:asciiTheme="minorHAnsi" w:hAnsiTheme="minorHAnsi" w:eastAsiaTheme="minorEastAsia" w:cstheme="minorBidi"/>
                <w:color w:val="auto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Theme="minorHAnsi" w:hAnsiTheme="minorHAnsi" w:eastAsiaTheme="minorEastAsia" w:cstheme="minorBidi"/>
                <w:color w:val="auto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Theme="minorHAnsi" w:hAnsiTheme="minorHAnsi" w:eastAsiaTheme="minorEastAsia" w:cstheme="minorBidi"/>
                <w:color w:val="auto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Theme="minorHAnsi" w:hAnsiTheme="minorHAnsi" w:eastAsiaTheme="minorEastAsia" w:cstheme="minorBidi"/>
                <w:color w:val="auto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Theme="minorHAnsi" w:hAnsiTheme="minorHAnsi" w:eastAsiaTheme="minorEastAsia" w:cstheme="minorBidi"/>
                <w:color w:val="auto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leftChars="0" w:right="0" w:rightChars="0" w:firstLine="0" w:firstLineChars="0"/>
              <w:jc w:val="center"/>
              <w:textAlignment w:val="auto"/>
              <w:rPr>
                <w:rFonts w:asciiTheme="minorHAnsi" w:hAnsiTheme="minorHAnsi" w:eastAsiaTheme="minorEastAsia" w:cstheme="minorBidi"/>
                <w:color w:val="auto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9" w:hRule="atLeast"/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textAlignment w:val="auto"/>
              <w:rPr>
                <w:rFonts w:hint="eastAsia" w:ascii="宋体"/>
                <w:color w:val="auto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textAlignment w:val="auto"/>
              <w:rPr>
                <w:rFonts w:hint="eastAsia" w:ascii="宋体"/>
                <w:color w:val="auto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both"/>
              <w:textAlignment w:val="auto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5.要求行政机关确认或重新出具已获取信息</w:t>
            </w:r>
          </w:p>
        </w:tc>
        <w:tc>
          <w:tcPr>
            <w:tcW w:w="688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Theme="minorHAnsi" w:hAnsiTheme="minorHAnsi" w:eastAsiaTheme="minorEastAsia" w:cstheme="minorBidi"/>
                <w:color w:val="auto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leftChars="0" w:right="0" w:rightChars="0" w:firstLine="0" w:firstLineChars="0"/>
              <w:jc w:val="center"/>
              <w:textAlignment w:val="auto"/>
              <w:rPr>
                <w:rFonts w:asciiTheme="minorHAnsi" w:hAnsiTheme="minorHAnsi" w:eastAsiaTheme="minorEastAsia" w:cstheme="minorBidi"/>
                <w:color w:val="auto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Theme="minorHAnsi" w:hAnsiTheme="minorHAnsi" w:eastAsiaTheme="minorEastAsia" w:cstheme="minorBidi"/>
                <w:color w:val="auto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Theme="minorHAnsi" w:hAnsiTheme="minorHAnsi" w:eastAsiaTheme="minorEastAsia" w:cstheme="minorBidi"/>
                <w:color w:val="auto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leftChars="0" w:right="0" w:rightChars="0" w:firstLine="0" w:firstLineChars="0"/>
              <w:jc w:val="center"/>
              <w:textAlignment w:val="auto"/>
              <w:rPr>
                <w:rFonts w:asciiTheme="minorHAnsi" w:hAnsiTheme="minorHAnsi" w:eastAsiaTheme="minorEastAsia" w:cstheme="minorBidi"/>
                <w:color w:val="auto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Theme="minorHAnsi" w:hAnsiTheme="minorHAnsi" w:eastAsiaTheme="minorEastAsia" w:cstheme="minorBidi"/>
                <w:color w:val="auto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Theme="minorHAnsi" w:hAnsiTheme="minorHAnsi" w:eastAsiaTheme="minorEastAsia" w:cstheme="minorBidi"/>
                <w:color w:val="auto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textAlignment w:val="auto"/>
              <w:rPr>
                <w:rFonts w:hint="eastAsia" w:ascii="宋体"/>
                <w:color w:val="auto"/>
                <w:sz w:val="24"/>
                <w:szCs w:val="24"/>
              </w:rPr>
            </w:pPr>
          </w:p>
        </w:tc>
        <w:tc>
          <w:tcPr>
            <w:tcW w:w="943" w:type="dxa"/>
            <w:vMerge w:val="restart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left"/>
              <w:textAlignment w:val="auto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（六）其他处理</w:t>
            </w: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both"/>
              <w:textAlignment w:val="auto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1.申请人无正当理由逾期不补正、行政机关不再处理其政府信息公开申请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leftChars="0" w:right="0" w:rightChars="0" w:firstLine="0" w:firstLineChars="0"/>
              <w:jc w:val="center"/>
              <w:textAlignment w:val="auto"/>
              <w:rPr>
                <w:rFonts w:asciiTheme="minorHAnsi" w:hAnsiTheme="minorHAnsi" w:eastAsiaTheme="minorEastAsia" w:cstheme="minorBidi"/>
                <w:color w:val="auto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Theme="minorHAnsi" w:hAnsiTheme="minorHAnsi" w:eastAsiaTheme="minorEastAsia" w:cstheme="minorBidi"/>
                <w:color w:val="auto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leftChars="0" w:right="0" w:rightChars="0" w:firstLine="0" w:firstLineChars="0"/>
              <w:jc w:val="center"/>
              <w:textAlignment w:val="auto"/>
              <w:rPr>
                <w:rFonts w:asciiTheme="minorHAnsi" w:hAnsiTheme="minorHAnsi" w:eastAsiaTheme="minorEastAsia" w:cstheme="minorBidi"/>
                <w:color w:val="auto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Theme="minorHAnsi" w:hAnsiTheme="minorHAnsi" w:eastAsiaTheme="minorEastAsia" w:cstheme="minorBidi"/>
                <w:color w:val="auto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Theme="minorHAnsi" w:hAnsiTheme="minorHAnsi" w:eastAsiaTheme="minorEastAsia" w:cstheme="minorBidi"/>
                <w:color w:val="auto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Theme="minorHAnsi" w:hAnsiTheme="minorHAnsi" w:eastAsiaTheme="minorEastAsia" w:cstheme="minorBidi"/>
                <w:color w:val="auto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leftChars="0" w:right="0" w:rightChars="0" w:firstLine="0" w:firstLineChars="0"/>
              <w:jc w:val="center"/>
              <w:textAlignment w:val="auto"/>
              <w:rPr>
                <w:rFonts w:asciiTheme="minorHAnsi" w:hAnsiTheme="minorHAnsi" w:eastAsiaTheme="minorEastAsia" w:cstheme="minorBidi"/>
                <w:color w:val="auto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textAlignment w:val="auto"/>
              <w:rPr>
                <w:rFonts w:hint="eastAsia" w:ascii="宋体"/>
                <w:color w:val="auto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textAlignment w:val="auto"/>
              <w:rPr>
                <w:rFonts w:hint="eastAsia" w:ascii="宋体"/>
                <w:color w:val="auto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both"/>
              <w:textAlignment w:val="auto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2.申请人逾期未按收费通知要求缴纳费用、行政机关不再处理其政府信息公开申请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leftChars="0" w:right="0" w:rightChars="0" w:firstLine="0" w:firstLineChars="0"/>
              <w:jc w:val="center"/>
              <w:textAlignment w:val="auto"/>
              <w:rPr>
                <w:rFonts w:asciiTheme="minorHAnsi" w:hAnsiTheme="minorHAnsi" w:eastAsiaTheme="minorEastAsia" w:cstheme="minorBidi"/>
                <w:color w:val="auto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leftChars="0" w:right="0" w:rightChars="0" w:firstLine="0" w:firstLineChars="0"/>
              <w:jc w:val="center"/>
              <w:textAlignment w:val="auto"/>
              <w:rPr>
                <w:rFonts w:asciiTheme="minorHAnsi" w:hAnsiTheme="minorHAnsi" w:eastAsiaTheme="minorEastAsia" w:cstheme="minorBidi"/>
                <w:color w:val="auto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Theme="minorHAnsi" w:hAnsiTheme="minorHAnsi" w:eastAsiaTheme="minorEastAsia" w:cstheme="minorBidi"/>
                <w:color w:val="auto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Theme="minorHAnsi" w:hAnsiTheme="minorHAnsi" w:eastAsiaTheme="minorEastAsia" w:cstheme="minorBidi"/>
                <w:color w:val="auto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Theme="minorHAnsi" w:hAnsiTheme="minorHAnsi" w:eastAsiaTheme="minorEastAsia" w:cstheme="minorBidi"/>
                <w:color w:val="auto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Theme="minorHAnsi" w:hAnsiTheme="minorHAnsi" w:eastAsiaTheme="minorEastAsia" w:cstheme="minorBidi"/>
                <w:color w:val="auto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leftChars="0" w:right="0" w:rightChars="0" w:firstLine="0" w:firstLineChars="0"/>
              <w:jc w:val="center"/>
              <w:textAlignment w:val="auto"/>
              <w:rPr>
                <w:rFonts w:asciiTheme="minorHAnsi" w:hAnsiTheme="minorHAnsi" w:eastAsiaTheme="minorEastAsia" w:cstheme="minorBidi"/>
                <w:color w:val="auto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textAlignment w:val="auto"/>
              <w:rPr>
                <w:rFonts w:hint="eastAsia" w:ascii="宋体"/>
                <w:color w:val="auto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textAlignment w:val="auto"/>
              <w:rPr>
                <w:rFonts w:hint="eastAsia" w:ascii="宋体"/>
                <w:color w:val="auto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left"/>
              <w:textAlignment w:val="auto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3.其他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Theme="minorHAnsi" w:hAnsiTheme="minorHAnsi" w:eastAsiaTheme="minorEastAsia" w:cstheme="minorBidi"/>
                <w:color w:val="auto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leftChars="0" w:right="0" w:rightChars="0" w:firstLine="0" w:firstLineChars="0"/>
              <w:jc w:val="center"/>
              <w:textAlignment w:val="auto"/>
              <w:rPr>
                <w:rFonts w:asciiTheme="minorHAnsi" w:hAnsiTheme="minorHAnsi" w:eastAsiaTheme="minorEastAsia" w:cstheme="minorBidi"/>
                <w:color w:val="auto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Theme="minorHAnsi" w:hAnsiTheme="minorHAnsi" w:eastAsiaTheme="minorEastAsia" w:cstheme="minorBidi"/>
                <w:color w:val="auto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Theme="minorHAnsi" w:hAnsiTheme="minorHAnsi" w:eastAsiaTheme="minorEastAsia" w:cstheme="minorBidi"/>
                <w:color w:val="auto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leftChars="0" w:right="0" w:rightChars="0" w:firstLine="0" w:firstLineChars="0"/>
              <w:jc w:val="center"/>
              <w:textAlignment w:val="auto"/>
              <w:rPr>
                <w:rFonts w:asciiTheme="minorHAnsi" w:hAnsiTheme="minorHAnsi" w:eastAsiaTheme="minorEastAsia" w:cstheme="minorBidi"/>
                <w:color w:val="auto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Theme="minorHAnsi" w:hAnsiTheme="minorHAnsi" w:eastAsiaTheme="minorEastAsia" w:cstheme="minorBidi"/>
                <w:color w:val="auto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Theme="minorHAnsi" w:hAnsiTheme="minorHAnsi" w:eastAsiaTheme="minorEastAsia" w:cstheme="minorBidi"/>
                <w:color w:val="auto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textAlignment w:val="auto"/>
              <w:rPr>
                <w:rFonts w:hint="eastAsia" w:ascii="宋体"/>
                <w:color w:val="auto"/>
                <w:sz w:val="24"/>
                <w:szCs w:val="24"/>
              </w:rPr>
            </w:pPr>
          </w:p>
        </w:tc>
        <w:tc>
          <w:tcPr>
            <w:tcW w:w="4163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left"/>
              <w:textAlignment w:val="auto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（七）总计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rFonts w:hint="default"/>
                <w:color w:val="auto"/>
                <w:lang w:val="en-US"/>
              </w:rPr>
            </w:pP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leftChars="0" w:right="0" w:rightChars="0" w:firstLine="0" w:firstLineChars="0"/>
              <w:jc w:val="center"/>
              <w:textAlignment w:val="auto"/>
              <w:rPr>
                <w:rFonts w:asciiTheme="minorHAnsi" w:hAnsiTheme="minorHAnsi" w:eastAsiaTheme="minorEastAsia" w:cstheme="minorBidi"/>
                <w:color w:val="auto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Theme="minorHAnsi" w:hAnsiTheme="minorHAnsi" w:eastAsiaTheme="minorEastAsia" w:cstheme="minorBidi"/>
                <w:color w:val="auto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leftChars="0" w:right="0" w:rightChars="0" w:firstLine="0" w:firstLineChars="0"/>
              <w:jc w:val="center"/>
              <w:textAlignment w:val="auto"/>
              <w:rPr>
                <w:rFonts w:asciiTheme="minorHAnsi" w:hAnsiTheme="minorHAnsi" w:eastAsiaTheme="minorEastAsia" w:cstheme="minorBidi"/>
                <w:color w:val="auto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Theme="minorHAnsi" w:hAnsiTheme="minorHAnsi" w:eastAsiaTheme="minorEastAsia" w:cstheme="minorBidi"/>
                <w:color w:val="auto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Theme="minorHAnsi" w:hAnsiTheme="minorHAnsi" w:eastAsiaTheme="minorEastAsia" w:cstheme="minorBidi"/>
                <w:color w:val="auto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Theme="minorHAnsi" w:hAnsiTheme="minorHAnsi" w:eastAsiaTheme="minorEastAsia" w:cstheme="minorBidi"/>
                <w:color w:val="auto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931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left"/>
              <w:textAlignment w:val="auto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四、结转下年度继续办理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Theme="minorHAnsi" w:hAnsiTheme="minorHAnsi" w:eastAsiaTheme="minorEastAsia" w:cstheme="minorBidi"/>
                <w:color w:val="auto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leftChars="0" w:right="0" w:rightChars="0" w:firstLine="0" w:firstLineChars="0"/>
              <w:jc w:val="center"/>
              <w:textAlignment w:val="auto"/>
              <w:rPr>
                <w:rFonts w:asciiTheme="minorHAnsi" w:hAnsiTheme="minorHAnsi" w:eastAsiaTheme="minorEastAsia" w:cstheme="minorBidi"/>
                <w:color w:val="auto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Theme="minorHAnsi" w:hAnsiTheme="minorHAnsi" w:eastAsiaTheme="minorEastAsia" w:cstheme="minorBidi"/>
                <w:color w:val="auto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leftChars="0" w:right="0" w:rightChars="0" w:firstLine="0" w:firstLineChars="0"/>
              <w:jc w:val="center"/>
              <w:textAlignment w:val="auto"/>
              <w:rPr>
                <w:rFonts w:asciiTheme="minorHAnsi" w:hAnsiTheme="minorHAnsi" w:eastAsiaTheme="minorEastAsia" w:cstheme="minorBidi"/>
                <w:color w:val="auto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Theme="minorHAnsi" w:hAnsiTheme="minorHAnsi" w:eastAsiaTheme="minorEastAsia" w:cstheme="minorBidi"/>
                <w:color w:val="auto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Theme="minorHAnsi" w:hAnsiTheme="minorHAnsi" w:eastAsiaTheme="minorEastAsia" w:cstheme="minorBidi"/>
                <w:color w:val="auto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Theme="minorHAnsi" w:hAnsiTheme="minorHAnsi" w:eastAsiaTheme="minorEastAsia" w:cstheme="minorBidi"/>
                <w:color w:val="auto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</w:tbl>
    <w:p>
      <w:pPr>
        <w:pStyle w:val="6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80" w:lineRule="exact"/>
        <w:ind w:right="0" w:firstLine="640" w:firstLineChars="200"/>
        <w:jc w:val="both"/>
        <w:textAlignment w:val="auto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四、政府信息公开行政复议、行政诉讼情况</w:t>
      </w:r>
    </w:p>
    <w:p>
      <w:pPr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80" w:lineRule="exact"/>
        <w:ind w:left="0" w:right="0" w:firstLine="0"/>
        <w:jc w:val="center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</w:rPr>
      </w:pPr>
    </w:p>
    <w:tbl>
      <w:tblPr>
        <w:tblStyle w:val="7"/>
        <w:tblW w:w="9743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49"/>
        <w:gridCol w:w="649"/>
        <w:gridCol w:w="649"/>
        <w:gridCol w:w="649"/>
        <w:gridCol w:w="649"/>
        <w:gridCol w:w="649"/>
        <w:gridCol w:w="649"/>
        <w:gridCol w:w="650"/>
        <w:gridCol w:w="650"/>
        <w:gridCol w:w="650"/>
        <w:gridCol w:w="650"/>
        <w:gridCol w:w="650"/>
        <w:gridCol w:w="650"/>
        <w:gridCol w:w="650"/>
        <w:gridCol w:w="650"/>
      </w:tblGrid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245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行政复议</w:t>
            </w:r>
          </w:p>
        </w:tc>
        <w:tc>
          <w:tcPr>
            <w:tcW w:w="6498" w:type="dxa"/>
            <w:gridSpan w:val="10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行政诉讼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49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结果维持</w:t>
            </w:r>
          </w:p>
        </w:tc>
        <w:tc>
          <w:tcPr>
            <w:tcW w:w="649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结果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纠正</w:t>
            </w:r>
          </w:p>
        </w:tc>
        <w:tc>
          <w:tcPr>
            <w:tcW w:w="649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其他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结果</w:t>
            </w:r>
          </w:p>
        </w:tc>
        <w:tc>
          <w:tcPr>
            <w:tcW w:w="649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尚未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审结</w:t>
            </w:r>
          </w:p>
        </w:tc>
        <w:tc>
          <w:tcPr>
            <w:tcW w:w="649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  <w:tc>
          <w:tcPr>
            <w:tcW w:w="3248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未经复议直接起诉</w:t>
            </w:r>
          </w:p>
        </w:tc>
        <w:tc>
          <w:tcPr>
            <w:tcW w:w="3250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复议后起诉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49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textAlignment w:val="auto"/>
              <w:rPr>
                <w:rFonts w:hint="eastAsia" w:ascii="宋体"/>
                <w:color w:val="auto"/>
                <w:sz w:val="24"/>
                <w:szCs w:val="24"/>
              </w:rPr>
            </w:pPr>
          </w:p>
        </w:tc>
        <w:tc>
          <w:tcPr>
            <w:tcW w:w="649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textAlignment w:val="auto"/>
              <w:rPr>
                <w:rFonts w:hint="eastAsia" w:ascii="宋体"/>
                <w:color w:val="auto"/>
                <w:sz w:val="24"/>
                <w:szCs w:val="24"/>
              </w:rPr>
            </w:pPr>
          </w:p>
        </w:tc>
        <w:tc>
          <w:tcPr>
            <w:tcW w:w="64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textAlignment w:val="auto"/>
              <w:rPr>
                <w:rFonts w:hint="eastAsia" w:ascii="宋体"/>
                <w:color w:val="auto"/>
                <w:sz w:val="24"/>
                <w:szCs w:val="24"/>
              </w:rPr>
            </w:pPr>
          </w:p>
        </w:tc>
        <w:tc>
          <w:tcPr>
            <w:tcW w:w="64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textAlignment w:val="auto"/>
              <w:rPr>
                <w:rFonts w:hint="eastAsia" w:ascii="宋体"/>
                <w:color w:val="auto"/>
                <w:sz w:val="24"/>
                <w:szCs w:val="24"/>
              </w:rPr>
            </w:pPr>
          </w:p>
        </w:tc>
        <w:tc>
          <w:tcPr>
            <w:tcW w:w="64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textAlignment w:val="auto"/>
              <w:rPr>
                <w:rFonts w:hint="eastAsia" w:ascii="宋体"/>
                <w:color w:val="auto"/>
                <w:sz w:val="24"/>
                <w:szCs w:val="24"/>
              </w:rPr>
            </w:pP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结果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维持</w:t>
            </w: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结果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纠正</w:t>
            </w:r>
          </w:p>
        </w:tc>
        <w:tc>
          <w:tcPr>
            <w:tcW w:w="6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其他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结果</w:t>
            </w:r>
          </w:p>
        </w:tc>
        <w:tc>
          <w:tcPr>
            <w:tcW w:w="6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尚未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审结</w:t>
            </w:r>
          </w:p>
        </w:tc>
        <w:tc>
          <w:tcPr>
            <w:tcW w:w="6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  <w:tc>
          <w:tcPr>
            <w:tcW w:w="6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结果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维持</w:t>
            </w:r>
          </w:p>
        </w:tc>
        <w:tc>
          <w:tcPr>
            <w:tcW w:w="6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结果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纠正</w:t>
            </w:r>
          </w:p>
        </w:tc>
        <w:tc>
          <w:tcPr>
            <w:tcW w:w="6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其他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结果</w:t>
            </w:r>
          </w:p>
        </w:tc>
        <w:tc>
          <w:tcPr>
            <w:tcW w:w="6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尚未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审结</w:t>
            </w:r>
          </w:p>
        </w:tc>
        <w:tc>
          <w:tcPr>
            <w:tcW w:w="6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right="0" w:firstLine="0"/>
              <w:jc w:val="center"/>
              <w:textAlignment w:val="auto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2" w:hRule="atLeast"/>
          <w:jc w:val="center"/>
        </w:trPr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Theme="minorHAnsi" w:hAnsiTheme="minorHAnsi" w:eastAsiaTheme="minorEastAsia" w:cstheme="minorBidi"/>
                <w:color w:val="auto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leftChars="0" w:right="0" w:rightChars="0" w:firstLine="0" w:firstLineChars="0"/>
              <w:jc w:val="center"/>
              <w:textAlignment w:val="auto"/>
              <w:rPr>
                <w:rFonts w:asciiTheme="minorHAnsi" w:hAnsiTheme="minorHAnsi" w:eastAsiaTheme="minorEastAsia" w:cstheme="minorBidi"/>
                <w:color w:val="auto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Theme="minorHAnsi" w:hAnsiTheme="minorHAnsi" w:eastAsiaTheme="minorEastAsia" w:cstheme="minorBidi"/>
                <w:color w:val="auto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leftChars="0" w:right="0" w:rightChars="0" w:firstLine="0" w:firstLineChars="0"/>
              <w:jc w:val="center"/>
              <w:textAlignment w:val="auto"/>
              <w:rPr>
                <w:rFonts w:asciiTheme="minorHAnsi" w:hAnsiTheme="minorHAnsi" w:eastAsiaTheme="minorEastAsia" w:cstheme="minorBidi"/>
                <w:color w:val="auto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Theme="minorHAnsi" w:hAnsiTheme="minorHAnsi" w:eastAsiaTheme="minorEastAsia" w:cstheme="minorBidi"/>
                <w:color w:val="auto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Theme="minorHAnsi" w:hAnsiTheme="minorHAnsi" w:eastAsiaTheme="minorEastAsia" w:cstheme="minorBidi"/>
                <w:color w:val="auto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Theme="minorHAnsi" w:hAnsiTheme="minorHAnsi" w:eastAsiaTheme="minorEastAsia" w:cstheme="minorBidi"/>
                <w:color w:val="auto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5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Theme="minorHAnsi" w:hAnsiTheme="minorHAnsi" w:eastAsiaTheme="minorEastAsia" w:cstheme="minorBidi"/>
                <w:color w:val="auto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5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leftChars="0" w:right="0" w:rightChars="0" w:firstLine="0" w:firstLineChars="0"/>
              <w:jc w:val="center"/>
              <w:textAlignment w:val="auto"/>
              <w:rPr>
                <w:rFonts w:asciiTheme="minorHAnsi" w:hAnsiTheme="minorHAnsi" w:eastAsiaTheme="minorEastAsia" w:cstheme="minorBidi"/>
                <w:color w:val="auto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5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Theme="minorHAnsi" w:hAnsiTheme="minorHAnsi" w:eastAsiaTheme="minorEastAsia" w:cstheme="minorBidi"/>
                <w:color w:val="auto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5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leftChars="0" w:right="0" w:rightChars="0" w:firstLine="0" w:firstLineChars="0"/>
              <w:jc w:val="center"/>
              <w:textAlignment w:val="auto"/>
              <w:rPr>
                <w:rFonts w:asciiTheme="minorHAnsi" w:hAnsiTheme="minorHAnsi" w:eastAsiaTheme="minorEastAsia" w:cstheme="minorBidi"/>
                <w:color w:val="auto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5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Theme="minorHAnsi" w:hAnsiTheme="minorHAnsi" w:eastAsiaTheme="minorEastAsia" w:cstheme="minorBidi"/>
                <w:color w:val="auto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5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Theme="minorHAnsi" w:hAnsiTheme="minorHAnsi" w:eastAsiaTheme="minorEastAsia" w:cstheme="minorBidi"/>
                <w:color w:val="auto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5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Theme="minorHAnsi" w:hAnsiTheme="minorHAnsi" w:eastAsiaTheme="minorEastAsia" w:cstheme="minorBidi"/>
                <w:color w:val="auto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5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eastAsia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default" w:ascii="Calibri" w:hAnsi="Calibri" w:cs="Calibri" w:eastAsiaTheme="minorEastAsia"/>
                <w:color w:val="auto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color w:val="auto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</w:tbl>
    <w:p>
      <w:pPr>
        <w:pStyle w:val="6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80" w:lineRule="exact"/>
        <w:ind w:right="0" w:firstLine="640" w:firstLineChars="200"/>
        <w:jc w:val="both"/>
        <w:textAlignment w:val="auto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五</w:t>
      </w: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eastAsia="zh-CN"/>
        </w:rPr>
        <w:t>、</w:t>
      </w: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政府信息公开工作存在的主要问题及改进情况</w:t>
      </w:r>
    </w:p>
    <w:p>
      <w:pPr>
        <w:pStyle w:val="6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80" w:lineRule="exact"/>
        <w:ind w:left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202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年，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经开区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政府信息公开工作稳步推进、有序开展，取得了一定成效，但与上级要求还有一定差距，主要表现在：政务公开工作有待进一步规范，个别领域政务公开工作开展不扎实，公开工作不到位、不积极。政府信息公开工作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人员业务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水平有待提高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eastAsia="zh-CN"/>
        </w:rPr>
        <w:t>。</w:t>
      </w:r>
    </w:p>
    <w:p>
      <w:pPr>
        <w:pStyle w:val="6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80" w:lineRule="exact"/>
        <w:ind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2022年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经开区政务公开领导小组办公室将坚持问题导向，积极查找问题根源，创新工作方式，主动作为，努力推动各项工作再上新台阶。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一是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进一步提高认识，加大工作力度，创新工作方式；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二是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加强政府信息公开工作的宣传教育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eastAsia="zh-CN"/>
        </w:rPr>
        <w:t>，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加大政务公开培训力度。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三是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进一步规范主动公开和依申请公开方面工作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eastAsia="zh-CN"/>
        </w:rPr>
        <w:t>，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对各类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主动公开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信息做到及时更新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eastAsia="zh-CN"/>
        </w:rPr>
        <w:t>。</w:t>
      </w:r>
    </w:p>
    <w:p>
      <w:pPr>
        <w:pStyle w:val="6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80" w:lineRule="exact"/>
        <w:ind w:right="0" w:firstLine="640" w:firstLineChars="200"/>
        <w:jc w:val="both"/>
        <w:textAlignment w:val="auto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六</w:t>
      </w: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eastAsia="zh-CN"/>
        </w:rPr>
        <w:t>、</w:t>
      </w: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其他需要报告的事项</w:t>
      </w:r>
    </w:p>
    <w:p>
      <w:pPr>
        <w:pStyle w:val="6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80" w:lineRule="exact"/>
        <w:ind w:left="0" w:right="0" w:firstLine="645"/>
        <w:jc w:val="both"/>
        <w:textAlignment w:val="auto"/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2021年扎实落实政务公开工作要点，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深化信息公开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工作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。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一是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进一步完善政务公开制度，加强政务公开审核，确保法定主动公开内容全部公开到位，公开方式更加统一规范。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二是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加强依申请公开工作，完善依申请公开办理规范，提高依申请公开办理服务水平和答复文书规范化水平。</w:t>
      </w:r>
      <w:r>
        <w:rPr>
          <w:rFonts w:hint="eastAsia" w:ascii="仿宋_GB2312" w:hAnsi="微软雅黑" w:eastAsia="仿宋_GB2312" w:cs="仿宋_GB2312"/>
          <w:b/>
          <w:bCs/>
          <w:i w:val="0"/>
          <w:iCs w:val="0"/>
          <w:caps w:val="0"/>
          <w:color w:val="000000"/>
          <w:spacing w:val="0"/>
          <w:sz w:val="31"/>
          <w:szCs w:val="31"/>
          <w:shd w:val="clear" w:fill="FFFFFF"/>
          <w:lang w:val="en-US" w:eastAsia="zh-CN"/>
        </w:rPr>
        <w:t>三是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加强财政信息公开，推进部门所属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事业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单位预算、决算及相关报表公开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eastAsia="zh-CN"/>
        </w:rPr>
        <w:t>；</w:t>
      </w:r>
      <w:r>
        <w:rPr>
          <w:rFonts w:hint="eastAsia" w:ascii="仿宋_GB2312" w:hAnsi="微软雅黑" w:eastAsia="仿宋_GB2312" w:cs="仿宋_GB2312"/>
          <w:b/>
          <w:bCs/>
          <w:i w:val="0"/>
          <w:iCs w:val="0"/>
          <w:caps w:val="0"/>
          <w:color w:val="000000"/>
          <w:spacing w:val="0"/>
          <w:sz w:val="31"/>
          <w:szCs w:val="31"/>
          <w:shd w:val="clear" w:fill="FFFFFF"/>
          <w:lang w:val="en-US" w:eastAsia="zh-CN"/>
        </w:rPr>
        <w:t>四是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>强化公开工作指导，完善监督评估机制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shd w:val="clear" w:fill="FFFFFF"/>
          <w:lang w:eastAsia="zh-CN"/>
        </w:rPr>
        <w:t>。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>加强队伍建设，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shd w:val="clear" w:fill="FFFFFF"/>
          <w:lang w:val="en-US" w:eastAsia="zh-CN"/>
        </w:rPr>
        <w:t>各局办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>明确1名负责同志，履行政府信息公开工作职责，定期组织开展政务公开工作培训和研讨交流。</w:t>
      </w:r>
      <w:r>
        <w:rPr>
          <w:rFonts w:hint="eastAsia" w:ascii="仿宋_GB2312" w:hAnsi="微软雅黑" w:eastAsia="仿宋_GB2312" w:cs="仿宋_GB2312"/>
          <w:b/>
          <w:bCs/>
          <w:i w:val="0"/>
          <w:iCs w:val="0"/>
          <w:caps w:val="0"/>
          <w:color w:val="000000"/>
          <w:spacing w:val="0"/>
          <w:sz w:val="31"/>
          <w:szCs w:val="31"/>
          <w:shd w:val="clear" w:fill="FFFFFF"/>
          <w:lang w:val="en-US" w:eastAsia="zh-CN"/>
        </w:rPr>
        <w:t>五是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>将政务公开工作纳入工作考核体系，合理设置考核权重，科学建立指标体系，定期对政务公开工作开展考核、评议。</w:t>
      </w:r>
    </w:p>
    <w:p>
      <w:pPr>
        <w:pStyle w:val="6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80" w:lineRule="exact"/>
        <w:ind w:left="0" w:right="0" w:firstLine="645"/>
        <w:jc w:val="both"/>
        <w:textAlignment w:val="auto"/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</w:pPr>
    </w:p>
    <w:p>
      <w:pPr>
        <w:pStyle w:val="6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80" w:lineRule="exact"/>
        <w:ind w:left="0" w:right="0" w:firstLine="645"/>
        <w:jc w:val="both"/>
        <w:textAlignment w:val="auto"/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</w:pPr>
      <w:bookmarkStart w:id="0" w:name="_GoBack"/>
      <w:bookmarkEnd w:id="0"/>
    </w:p>
    <w:p>
      <w:pPr>
        <w:pStyle w:val="6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80" w:lineRule="exact"/>
        <w:ind w:left="0" w:right="0" w:firstLine="645"/>
        <w:jc w:val="center"/>
        <w:textAlignment w:val="auto"/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shd w:val="clear" w:fill="FFFFFF"/>
          <w:lang w:val="en-US" w:eastAsia="zh-CN"/>
        </w:rPr>
      </w:pP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shd w:val="clear" w:fill="FFFFFF"/>
          <w:lang w:val="en-US" w:eastAsia="zh-CN"/>
        </w:rPr>
        <w:t>呼伦贝尔经济技术开发区管理委员会</w:t>
      </w:r>
    </w:p>
    <w:p>
      <w:pPr>
        <w:pStyle w:val="6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80" w:lineRule="exact"/>
        <w:ind w:left="0" w:right="0" w:firstLine="645"/>
        <w:jc w:val="center"/>
        <w:textAlignment w:val="auto"/>
        <w:rPr>
          <w:rFonts w:hint="default" w:ascii="仿宋_GB2312" w:hAnsi="微软雅黑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shd w:val="clear" w:fill="FFFFFF"/>
          <w:lang w:val="en-US" w:eastAsia="zh-CN"/>
        </w:rPr>
      </w:pP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shd w:val="clear" w:fill="FFFFFF"/>
          <w:lang w:val="en-US" w:eastAsia="zh-CN"/>
        </w:rPr>
        <w:t>2022年1月21日</w:t>
      </w:r>
    </w:p>
    <w:sectPr>
      <w:footerReference r:id="rId3" w:type="default"/>
      <w:pgSz w:w="11906" w:h="16838"/>
      <w:pgMar w:top="2098" w:right="1531" w:bottom="1984" w:left="1531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</w:pP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</w:pP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62A4244"/>
    <w:rsid w:val="03C17FFB"/>
    <w:rsid w:val="18742926"/>
    <w:rsid w:val="1F2A2D3C"/>
    <w:rsid w:val="2CED3E8C"/>
    <w:rsid w:val="2E4F6F7F"/>
    <w:rsid w:val="33C148CD"/>
    <w:rsid w:val="362A4244"/>
    <w:rsid w:val="39D87C3D"/>
    <w:rsid w:val="3E457417"/>
    <w:rsid w:val="529E3592"/>
    <w:rsid w:val="547D3C51"/>
    <w:rsid w:val="70D47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420" w:firstLineChars="200"/>
    </w:p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Office_11.1.0.11194_F1E327BC-269C-435d-A152-05C5408002CA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2021-12-30T07:12:00Z</dcterms:created>
  <dc:creator>月子同学</dc:creator>
  <cp:lastModifiedBy>月子同学</cp:lastModifiedBy>
  <cp:lastPrinted>2022-01-21T03:59:00Z</cp:lastPrinted>
  <dcterms:modified xsi:type="dcterms:W3CDTF">2022-01-21T06:37:20Z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2052-11.1.0.11194</vt:lpwstr>
  </property>
  <property fmtid="{D5CDD505-2E9C-101B-9397-08002B2CF9AE}" pid="3" name="ICV">
    <vt:lpwstr>8946B7A739EE40EC95CC4EE18C4E6D60</vt:lpwstr>
  </property>
</Properties>
</file>