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Calibri" w:hAnsi="Calibri" w:eastAsia="宋体" w:cs="Times New Roman"/>
          <w:sz w:val="32"/>
          <w:szCs w:val="32"/>
          <w:lang w:val="en-US" w:eastAsia="zh-CN" w:bidi="ar"/>
        </w:rPr>
      </w:pPr>
      <w:r>
        <w:rPr>
          <w:rFonts w:hint="eastAsia" w:ascii="Calibri" w:hAnsi="Calibri" w:eastAsia="宋体" w:cs="Times New Roman"/>
          <w:sz w:val="32"/>
          <w:szCs w:val="32"/>
          <w:lang w:val="en-US" w:eastAsia="zh-CN" w:bidi="ar"/>
        </w:rPr>
        <w:t>附件2：</w:t>
      </w:r>
    </w:p>
    <w:p>
      <w:pPr>
        <w:jc w:val="center"/>
        <w:rPr>
          <w:rFonts w:hint="eastAsia" w:ascii="Calibri" w:hAnsi="Calibri" w:eastAsia="宋体" w:cs="Times New Roman"/>
          <w:sz w:val="32"/>
          <w:szCs w:val="32"/>
          <w:lang w:val="en-US" w:eastAsia="zh-CN" w:bidi="ar"/>
        </w:rPr>
      </w:pPr>
      <w:r>
        <w:rPr>
          <w:rFonts w:hint="eastAsia" w:ascii="Calibri" w:hAnsi="Calibri" w:eastAsia="宋体" w:cs="Times New Roman"/>
          <w:sz w:val="32"/>
          <w:szCs w:val="32"/>
          <w:lang w:val="en-US" w:eastAsia="zh-CN" w:bidi="ar"/>
        </w:rPr>
        <w:t>醇基液体燃料调配生产企业检查情况汇总表</w:t>
      </w:r>
    </w:p>
    <w:p>
      <w:pPr>
        <w:jc w:val="left"/>
        <w:rPr>
          <w:rFonts w:hint="eastAsia" w:ascii="Calibri" w:hAnsi="Calibri" w:eastAsia="宋体" w:cs="Times New Roman"/>
          <w:sz w:val="32"/>
          <w:szCs w:val="32"/>
          <w:lang w:val="en-US" w:eastAsia="zh-CN" w:bidi="ar"/>
        </w:rPr>
      </w:pPr>
      <w:r>
        <w:rPr>
          <w:rFonts w:hint="eastAsia" w:ascii="Calibri" w:hAnsi="Calibri" w:eastAsia="宋体" w:cs="Times New Roman"/>
          <w:sz w:val="32"/>
          <w:szCs w:val="32"/>
          <w:lang w:val="en-US" w:eastAsia="zh-CN" w:bidi="ar"/>
        </w:rPr>
        <w:t>填报单位：                                             填报日期：</w:t>
      </w:r>
      <w:bookmarkStart w:id="0" w:name="_GoBack"/>
      <w:bookmarkEnd w:id="0"/>
    </w:p>
    <w:tbl>
      <w:tblPr>
        <w:tblStyle w:val="3"/>
        <w:tblW w:w="13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企业名称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企业地址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法定代表人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联系电话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产品名称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执行标准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经营情况</w:t>
            </w: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sz w:val="28"/>
                <w:szCs w:val="28"/>
                <w:vertAlign w:val="baseline"/>
                <w:lang w:val="en-US" w:eastAsia="zh-CN" w:bidi="ar"/>
              </w:rPr>
              <w:t>监管人员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647" w:type="dxa"/>
          </w:tcPr>
          <w:p>
            <w:pPr>
              <w:jc w:val="left"/>
              <w:rPr>
                <w:rFonts w:hint="eastAsia" w:ascii="Calibri" w:hAnsi="Calibri" w:eastAsia="宋体" w:cs="Times New Roman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jc w:val="left"/>
        <w:rPr>
          <w:rFonts w:hint="default" w:ascii="Calibri" w:hAnsi="Calibri" w:eastAsia="宋体" w:cs="Times New Roman"/>
          <w:sz w:val="32"/>
          <w:szCs w:val="32"/>
          <w:lang w:val="en-US" w:eastAsia="zh-CN" w:bidi="ar"/>
        </w:rPr>
      </w:pPr>
    </w:p>
    <w:sectPr>
      <w:pgSz w:w="15840" w:h="12240" w:orient="landscape"/>
      <w:pgMar w:top="1800" w:right="1440" w:bottom="1800" w:left="1440" w:header="720" w:footer="720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Cambria Math">
    <w:panose1 w:val="02040503050406030204"/>
    <w:charset w:val="00"/>
    <w:family w:val="auto"/>
    <w:pitch w:val="variable"/>
    <w:sig w:usb0="A00002EF" w:usb1="420020EB" w:usb2="00000000" w:usb3="00000000" w:csb0="2000009F" w:csb1="00000000"/>
  </w:font>
  <w:font w:name="@宋体">
    <w:panose1 w:val="02010600030101010101"/>
    <w:charset w:val="86"/>
    <w:family w:val="auto"/>
    <w:pitch w:val="variable"/>
    <w:sig w:usb0="00000003" w:usb1="080E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4D3509"/>
    <w:rsid w:val="4C4D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kern w:val="2"/>
      <w:sz w:val="21"/>
      <w:szCs w:val="22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2021-05-14T08:11:00Z</dcterms:created>
  <dc:creator>卜启兵</dc:creator>
  <cp:lastModifiedBy>卜启兵</cp:lastModifiedBy>
  <dcterms:modified xsi:type="dcterms:W3CDTF">2021-05-14T08:23:05Z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