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39A0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《呼伦贝尔市气象灾害防御重点单位气象安全管理办法（草案征求意见稿）》起草说明</w:t>
      </w:r>
    </w:p>
    <w:p w14:paraId="6C76AC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87B9B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现将《呼伦贝尔市气象灾害防御重点单位气象安全管理办法（</w:t>
      </w:r>
      <w:bookmarkStart w:id="4" w:name="_GoBack"/>
      <w:bookmarkEnd w:id="4"/>
      <w:r>
        <w:rPr>
          <w:rFonts w:hint="eastAsia" w:ascii="仿宋_GB2312" w:hAnsi="仿宋_GB2312" w:eastAsia="仿宋_GB2312" w:cs="仿宋_GB2312"/>
          <w:sz w:val="32"/>
          <w:szCs w:val="32"/>
        </w:rPr>
        <w:t>草案征求意见稿）》起草情况说明如下：</w:t>
      </w:r>
    </w:p>
    <w:p w14:paraId="113C1B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outlineLvl w:val="1"/>
        <w:rPr>
          <w:rFonts w:hint="eastAsia" w:ascii="黑体" w:hAnsi="黑体" w:eastAsia="黑体" w:cs="黑体"/>
          <w:b w:val="0"/>
          <w:bCs/>
          <w:sz w:val="32"/>
          <w:szCs w:val="32"/>
        </w:rPr>
      </w:pPr>
      <w:bookmarkStart w:id="0" w:name="heading_0"/>
      <w:r>
        <w:rPr>
          <w:rFonts w:hint="eastAsia" w:ascii="黑体" w:hAnsi="黑体" w:eastAsia="黑体" w:cs="黑体"/>
          <w:b w:val="0"/>
          <w:bCs/>
          <w:sz w:val="32"/>
          <w:szCs w:val="32"/>
        </w:rPr>
        <w:t>一、制定的必要性</w:t>
      </w:r>
      <w:bookmarkEnd w:id="0"/>
    </w:p>
    <w:p w14:paraId="35523C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一是落实国家及自治区防灾减灾法治要求。</w:t>
      </w:r>
      <w:r>
        <w:rPr>
          <w:rFonts w:hint="eastAsia" w:ascii="仿宋_GB2312" w:hAnsi="仿宋_GB2312" w:eastAsia="仿宋_GB2312" w:cs="仿宋_GB2312"/>
          <w:sz w:val="32"/>
          <w:szCs w:val="32"/>
        </w:rPr>
        <w:t>贯彻习近平总书记“两个坚持、三个转变”防灾减灾理念、《气象高质量发展纲要（2022—2035年）》及自治区气象防灾法规要求，补齐市级配套制度空白。我市暴雪、寒潮、大风、森林草原火险等灾害多发，出台办法可依法压实各方责任，推动防灾从灾后救助向灾前预防转型，筑牢北疆生态安全屏障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二是破解本地防灾突出短板。</w:t>
      </w:r>
      <w:r>
        <w:rPr>
          <w:rFonts w:hint="eastAsia" w:ascii="仿宋_GB2312" w:hAnsi="仿宋_GB2312" w:eastAsia="仿宋_GB2312" w:cs="仿宋_GB2312"/>
          <w:sz w:val="32"/>
          <w:szCs w:val="32"/>
        </w:rPr>
        <w:t>结合立法调研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成果</w:t>
      </w:r>
      <w:r>
        <w:rPr>
          <w:rFonts w:hint="eastAsia" w:ascii="仿宋_GB2312" w:hAnsi="仿宋_GB2312" w:eastAsia="仿宋_GB2312" w:cs="仿宋_GB2312"/>
          <w:sz w:val="32"/>
          <w:szCs w:val="32"/>
        </w:rPr>
        <w:t>，当前管理存在四大难题：认定标准不统一、名录静态无退出机制；七成单位未开展年度气象应急演练，新员工岗前培训覆盖率不足50%，暴雪、草原防火等针对性措施缺失；部门联动仅靠临时协调，缺少统一信息共享平台，重复检查与监管空白并存；现有法规惩戒模糊、违法成本低，企业整改主动性不强。我市地域辽阔、场景多元，危化、矿山、林场、景区等单位遇极端天气易引发次生事故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亟须</w:t>
      </w:r>
      <w:r>
        <w:rPr>
          <w:rFonts w:hint="eastAsia" w:ascii="仿宋_GB2312" w:hAnsi="仿宋_GB2312" w:eastAsia="仿宋_GB2312" w:cs="仿宋_GB2312"/>
          <w:sz w:val="32"/>
          <w:szCs w:val="32"/>
        </w:rPr>
        <w:t>制度规范全流程管控。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三是固化成熟实践、完善本地气象法治体系。</w:t>
      </w:r>
      <w:r>
        <w:rPr>
          <w:rFonts w:hint="eastAsia" w:ascii="仿宋_GB2312" w:hAnsi="仿宋_GB2312" w:eastAsia="仿宋_GB2312" w:cs="仿宋_GB2312"/>
          <w:sz w:val="32"/>
          <w:szCs w:val="32"/>
        </w:rPr>
        <w:t>我市已形成气象、应急、林草多部门联合预警、隐患排查等工作机制，但缺乏规章固化。制定本办法，将林区防火、牧区防冻、矿区防雷等实操经验法治化，统一全市管理标准，实现重点单位监管规范化、长效化。</w:t>
      </w:r>
    </w:p>
    <w:p w14:paraId="53AE08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outlineLvl w:val="1"/>
        <w:rPr>
          <w:rFonts w:hint="eastAsia" w:ascii="黑体" w:hAnsi="黑体" w:eastAsia="黑体" w:cs="黑体"/>
          <w:b w:val="0"/>
          <w:bCs/>
          <w:sz w:val="32"/>
          <w:szCs w:val="32"/>
        </w:rPr>
      </w:pPr>
      <w:bookmarkStart w:id="1" w:name="heading_1"/>
      <w:r>
        <w:rPr>
          <w:rFonts w:hint="eastAsia" w:ascii="黑体" w:hAnsi="黑体" w:eastAsia="黑体" w:cs="黑体"/>
          <w:b w:val="0"/>
          <w:bCs/>
          <w:sz w:val="32"/>
          <w:szCs w:val="32"/>
        </w:rPr>
        <w:t>二、起草过程</w:t>
      </w:r>
      <w:bookmarkEnd w:id="1"/>
    </w:p>
    <w:p w14:paraId="1C7ADB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2025年6—11月，市司法局、气象局组建联合调研组，实地走访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境内的</w:t>
      </w:r>
      <w:r>
        <w:rPr>
          <w:rFonts w:hint="eastAsia" w:ascii="仿宋_GB2312" w:hAnsi="仿宋_GB2312" w:eastAsia="仿宋_GB2312" w:cs="仿宋_GB2312"/>
          <w:sz w:val="32"/>
          <w:szCs w:val="32"/>
        </w:rPr>
        <w:t>5个旗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，赴广西、江西学习“分类认定、两年更新、联合监管、精准预警”先进模式，形成立法调研报告上报市政府，申请纳入2026年政府规章审议计划。</w:t>
      </w:r>
    </w:p>
    <w:p w14:paraId="106F53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2025年12月至2026年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月，参照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全国</w:t>
      </w:r>
      <w:r>
        <w:rPr>
          <w:rFonts w:hint="eastAsia" w:ascii="仿宋_GB2312" w:hAnsi="仿宋_GB2312" w:eastAsia="仿宋_GB2312" w:cs="仿宋_GB2312"/>
          <w:sz w:val="32"/>
          <w:szCs w:val="32"/>
        </w:rPr>
        <w:t>同类规章框架，结合我市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区位特色</w:t>
      </w:r>
      <w:r>
        <w:rPr>
          <w:rFonts w:hint="eastAsia" w:ascii="仿宋_GB2312" w:hAnsi="仿宋_GB2312" w:eastAsia="仿宋_GB2312" w:cs="仿宋_GB2312"/>
          <w:sz w:val="32"/>
          <w:szCs w:val="32"/>
        </w:rPr>
        <w:t>，吸纳省外经验完成初稿，增设大中型林场、尾矿库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</w:rPr>
        <w:t>专属防御条款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形成本《草案》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0F63AA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1"/>
        <w:rPr>
          <w:rFonts w:hint="eastAsia" w:ascii="黑体" w:hAnsi="黑体" w:eastAsia="黑体" w:cs="黑体"/>
          <w:b w:val="0"/>
          <w:bCs/>
          <w:sz w:val="32"/>
          <w:szCs w:val="32"/>
        </w:rPr>
      </w:pPr>
      <w:bookmarkStart w:id="2" w:name="heading_2"/>
      <w:r>
        <w:rPr>
          <w:rFonts w:hint="eastAsia" w:ascii="黑体" w:hAnsi="黑体" w:eastAsia="黑体" w:cs="黑体"/>
          <w:b w:val="0"/>
          <w:bCs/>
          <w:sz w:val="32"/>
          <w:szCs w:val="32"/>
        </w:rPr>
        <w:t>三、立法主要思路</w:t>
      </w:r>
      <w:bookmarkEnd w:id="2"/>
    </w:p>
    <w:p w14:paraId="03931C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草案共五章二十四条，紧扣调研报告框架建议，确立三项核心思路：</w:t>
      </w:r>
    </w:p>
    <w:p w14:paraId="1C0CE0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一是突出北疆地域适配性。</w:t>
      </w:r>
      <w:r>
        <w:rPr>
          <w:rFonts w:hint="eastAsia" w:ascii="仿宋_GB2312" w:hAnsi="仿宋_GB2312" w:eastAsia="仿宋_GB2312" w:cs="仿宋_GB2312"/>
          <w:sz w:val="32"/>
          <w:szCs w:val="32"/>
        </w:rPr>
        <w:t>围绕暴雪、寒潮、大风、森林草原火等本地主要灾害，针对林区、牧区、矿山、文旅、危化企业设置差异化预警处置条款，区别于南方侧重内涝的制度设计，贴合边疆生产生活实际。</w:t>
      </w:r>
    </w:p>
    <w:p w14:paraId="162072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二是坚持问题导向靶向治理。</w:t>
      </w:r>
      <w:r>
        <w:rPr>
          <w:rFonts w:hint="eastAsia" w:ascii="仿宋_GB2312" w:hAnsi="仿宋_GB2312" w:eastAsia="仿宋_GB2312" w:cs="仿宋_GB2312"/>
          <w:sz w:val="32"/>
          <w:szCs w:val="32"/>
        </w:rPr>
        <w:t>针对调研发现的认定、责任、联动、惩戒四大痛点，建立标准化认定、动态名录、双重岗位责任、多部门联合监管、梯度化追责闭环制度，全部措施可落地、可核查。</w:t>
      </w:r>
    </w:p>
    <w:p w14:paraId="436F5C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三是兼顾刚性监管与柔性服务。</w:t>
      </w:r>
      <w:r>
        <w:rPr>
          <w:rFonts w:hint="eastAsia" w:ascii="仿宋_GB2312" w:hAnsi="仿宋_GB2312" w:eastAsia="仿宋_GB2312" w:cs="仿宋_GB2312"/>
          <w:sz w:val="32"/>
          <w:szCs w:val="32"/>
        </w:rPr>
        <w:t>构建政府统筹、气象专业指导、行业主管监管、单位主体落实四级责任；一方面强化联合抽查、限期整改、法律惩戒约束，另一方面推送精准预警、鼓励定制气象服务、引入保险评价市场化激励，形成多元协同治理格局。</w:t>
      </w:r>
    </w:p>
    <w:p w14:paraId="36D9AE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outlineLvl w:val="1"/>
        <w:rPr>
          <w:rFonts w:hint="eastAsia" w:ascii="黑体" w:hAnsi="黑体" w:eastAsia="黑体" w:cs="黑体"/>
          <w:b w:val="0"/>
          <w:bCs/>
          <w:sz w:val="32"/>
          <w:szCs w:val="32"/>
        </w:rPr>
      </w:pPr>
      <w:bookmarkStart w:id="3" w:name="heading_3"/>
      <w:r>
        <w:rPr>
          <w:rFonts w:hint="eastAsia" w:ascii="黑体" w:hAnsi="黑体" w:eastAsia="黑体" w:cs="黑体"/>
          <w:b w:val="0"/>
          <w:bCs/>
          <w:sz w:val="32"/>
          <w:szCs w:val="32"/>
        </w:rPr>
        <w:t>四、需要重点说明的问题</w:t>
      </w:r>
      <w:bookmarkEnd w:id="3"/>
    </w:p>
    <w:p w14:paraId="5347AD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（一）重点单位认定与动态名录管理。</w:t>
      </w:r>
      <w:r>
        <w:rPr>
          <w:rFonts w:hint="eastAsia" w:ascii="仿宋_GB2312" w:hAnsi="仿宋_GB2312" w:eastAsia="仿宋_GB2312" w:cs="仿宋_GB2312"/>
          <w:sz w:val="32"/>
          <w:szCs w:val="32"/>
        </w:rPr>
        <w:t>综合区域风险、地形、行业重要性、致灾损失四大因素划定十大类单位，专门覆盖大中型林场、尾矿库、文保单位；危化仓储、油气站等高风险单位直接列入名录。实行行业申报、专家评审、政府公布流程，评审不收取企业费用；落实每两年全面更新机制，建立单位退出渠道，搭建全市统一信息数据库，打通部门数据共享，解决静态管理、信息孤岛问题。</w:t>
      </w:r>
    </w:p>
    <w:p w14:paraId="75422F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（二）重点单位主体责任制度。</w:t>
      </w:r>
      <w:r>
        <w:rPr>
          <w:rFonts w:hint="eastAsia" w:ascii="仿宋_GB2312" w:hAnsi="仿宋_GB2312" w:eastAsia="仿宋_GB2312" w:cs="仿宋_GB2312"/>
          <w:sz w:val="32"/>
          <w:szCs w:val="32"/>
        </w:rPr>
        <w:t>设立“主要负责人总负责+气象应急管理员实操”双重机制，管理员须报备气象部门，统筹预案、演练、培训、隐患巡查、预警传导等工作。法定单位每年至少1次应急演练、全员年度培训、新员工岗前培训，建立巡查台账与完整气象防御档案。分行业细化暴雪、大风、雷电、干旱分级处置措施，重点强化林区防火、牧区防冻、尾矿库防汛等本地化要求。</w:t>
      </w:r>
    </w:p>
    <w:p w14:paraId="07476D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（三）跨部门协同监管机制。</w:t>
      </w:r>
      <w:r>
        <w:rPr>
          <w:rFonts w:hint="eastAsia" w:ascii="仿宋_GB2312" w:hAnsi="仿宋_GB2312" w:eastAsia="仿宋_GB2312" w:cs="仿宋_GB2312"/>
          <w:sz w:val="32"/>
          <w:szCs w:val="32"/>
        </w:rPr>
        <w:t>落实“管行业必须管安全”，气象部门负责专业预警与风险评估，各行业主管牵头日常监管，乡镇街道协助基层落实；建立气象、应急、行业部门联合年度检查、随机抽查制度，实行隐患清单交办、销号管理，减少重复检查、消除监管盲区。同步提供专业气象服务，鼓励行业防灾能力评价，引导金融保险将评价结果作为信贷、保费核定依据。</w:t>
      </w:r>
    </w:p>
    <w:p w14:paraId="4FE65B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（四）本地化特色与法律责任。</w:t>
      </w:r>
      <w:r>
        <w:rPr>
          <w:rFonts w:hint="eastAsia" w:ascii="仿宋_GB2312" w:hAnsi="仿宋_GB2312" w:eastAsia="仿宋_GB2312" w:cs="仿宋_GB2312"/>
          <w:sz w:val="32"/>
          <w:szCs w:val="32"/>
        </w:rPr>
        <w:t>附则明确本地气象灾害范围，依据水利、林草行业标准界定大中型水库、林场，凸显高寒边疆立法特点。针对演练缺位、隐患拒不整改、预警处置失职等情形设置梯度化惩戒条款，明晰执法标准，解决以往处罚模糊、震慑不足问题，提升违法成本，强化制度刚性。</w:t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70E75C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56B29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2051B"/>
    <w:rsid w:val="08420AFD"/>
    <w:rsid w:val="0E272EC6"/>
    <w:rsid w:val="1F222F60"/>
    <w:rsid w:val="2A413815"/>
    <w:rsid w:val="45EE5242"/>
    <w:rsid w:val="71952008"/>
    <w:rsid w:val="79D51B0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1718</Words>
  <Characters>1740</Characters>
  <TotalTime>4</TotalTime>
  <ScaleCrop>false</ScaleCrop>
  <LinksUpToDate>false</LinksUpToDate>
  <CharactersWithSpaces>1740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2026-07-28T03:37:00Z</dcterms:created>
  <dc:creator>Apache POI</dc:creator>
  <cp:lastModifiedBy>莱莱</cp:lastModifiedBy>
  <dcterms:modified xsi:type="dcterms:W3CDTF">2026-07-31T08:39:41Z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{"Label":"1","ContentProducer":"001191110102MACQD9K64010000","ProduceID":"7667417972319046931","ReservedCode1":"","ContentPropagator":"","PropagateID":"","ReservedCode2":""}</vt:lpwstr>
  </property>
  <property fmtid="{D5CDD505-2E9C-101B-9397-08002B2CF9AE}" pid="3" name="KSOTemplateDocerSaveRecord">
    <vt:lpwstr>eyJoZGlkIjoiMTI1ZWI2YWUyMzFkZDVhOGY0NjA0OWYzMTc0NWZlOGUiLCJ1c2VySWQiOiIyMzA5ODAyNTIifQ==</vt:lpwstr>
  </property>
  <property fmtid="{D5CDD505-2E9C-101B-9397-08002B2CF9AE}" pid="4" name="KSOProductBuildVer">
    <vt:lpwstr>2052-12.1.0.26895</vt:lpwstr>
  </property>
  <property fmtid="{D5CDD505-2E9C-101B-9397-08002B2CF9AE}" pid="5" name="ICV">
    <vt:lpwstr>99DF1EBB5603407FBC7951889D645E80_13</vt:lpwstr>
  </property>
</Properties>
</file>