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6A335">
      <w:pPr>
        <w:spacing w:line="540" w:lineRule="exact"/>
        <w:ind w:firstLine="0" w:firstLineChars="0"/>
        <w:jc w:val="left"/>
        <w:outlineLvl w:val="1"/>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eastAsia="zh-CN"/>
        </w:rPr>
        <w:t>附件</w:t>
      </w:r>
      <w:r>
        <w:rPr>
          <w:rFonts w:hint="eastAsia" w:ascii="仿宋_GB2312" w:hAnsi="仿宋_GB2312" w:eastAsia="仿宋_GB2312" w:cs="仿宋_GB2312"/>
          <w:sz w:val="32"/>
          <w:szCs w:val="32"/>
          <w:u w:val="none"/>
          <w:lang w:val="en-US" w:eastAsia="zh-CN"/>
        </w:rPr>
        <w:t>1：</w:t>
      </w:r>
    </w:p>
    <w:p w14:paraId="7766C89F">
      <w:pPr>
        <w:spacing w:line="560" w:lineRule="exact"/>
        <w:jc w:val="center"/>
        <w:rPr>
          <w:rFonts w:hint="eastAsia" w:ascii="方正小标宋简体" w:eastAsia="方正小标宋简体"/>
          <w:sz w:val="44"/>
          <w:lang w:eastAsia="zh-CN"/>
        </w:rPr>
      </w:pPr>
    </w:p>
    <w:p w14:paraId="15B5222F">
      <w:pPr>
        <w:spacing w:line="560" w:lineRule="exact"/>
        <w:jc w:val="center"/>
        <w:rPr>
          <w:rFonts w:hint="eastAsia" w:ascii="方正小标宋简体" w:eastAsia="方正小标宋简体"/>
          <w:sz w:val="44"/>
          <w:lang w:eastAsia="zh-CN"/>
        </w:rPr>
      </w:pPr>
      <w:r>
        <w:rPr>
          <w:rFonts w:hint="eastAsia" w:ascii="方正小标宋简体" w:eastAsia="方正小标宋简体"/>
          <w:sz w:val="44"/>
          <w:lang w:eastAsia="zh-CN"/>
        </w:rPr>
        <w:t>呼伦贝尔市</w:t>
      </w:r>
      <w:r>
        <w:rPr>
          <w:rFonts w:hint="eastAsia" w:ascii="方正小标宋简体" w:eastAsia="方正小标宋简体"/>
          <w:sz w:val="44"/>
          <w:lang w:val="en-US" w:eastAsia="zh-CN"/>
        </w:rPr>
        <w:t>能源</w:t>
      </w:r>
      <w:r>
        <w:rPr>
          <w:rFonts w:hint="eastAsia" w:ascii="方正小标宋简体" w:eastAsia="方正小标宋简体"/>
          <w:sz w:val="44"/>
          <w:lang w:eastAsia="zh-CN"/>
        </w:rPr>
        <w:t>局关于《呼伦贝尔市</w:t>
      </w:r>
    </w:p>
    <w:p w14:paraId="66E8A0F7">
      <w:pPr>
        <w:spacing w:line="560" w:lineRule="exact"/>
        <w:jc w:val="center"/>
        <w:rPr>
          <w:rFonts w:hint="eastAsia" w:ascii="方正小标宋简体" w:eastAsia="方正小标宋简体"/>
          <w:sz w:val="44"/>
        </w:rPr>
      </w:pPr>
      <w:r>
        <w:rPr>
          <w:rFonts w:hint="eastAsia" w:ascii="方正小标宋简体" w:eastAsia="方正小标宋简体"/>
          <w:sz w:val="44"/>
          <w:lang w:eastAsia="zh-CN"/>
        </w:rPr>
        <w:t>“十五五”</w:t>
      </w:r>
      <w:r>
        <w:rPr>
          <w:rFonts w:hint="eastAsia" w:ascii="方正小标宋简体" w:eastAsia="方正小标宋简体"/>
          <w:sz w:val="44"/>
          <w:lang w:val="en-US" w:eastAsia="zh-CN"/>
        </w:rPr>
        <w:t>能源</w:t>
      </w:r>
      <w:r>
        <w:rPr>
          <w:rFonts w:hint="eastAsia" w:ascii="方正小标宋简体" w:eastAsia="方正小标宋简体"/>
          <w:sz w:val="44"/>
        </w:rPr>
        <w:t>发展规划</w:t>
      </w:r>
      <w:r>
        <w:rPr>
          <w:rFonts w:hint="eastAsia" w:ascii="方正小标宋简体" w:eastAsia="方正小标宋简体"/>
          <w:sz w:val="44"/>
          <w:lang w:eastAsia="zh-CN"/>
        </w:rPr>
        <w:t>》起草说明</w:t>
      </w:r>
    </w:p>
    <w:p w14:paraId="104D9007">
      <w:pPr>
        <w:spacing w:line="540" w:lineRule="exact"/>
        <w:ind w:firstLine="800" w:firstLineChars="250"/>
        <w:jc w:val="left"/>
        <w:outlineLvl w:val="1"/>
        <w:rPr>
          <w:rFonts w:hint="eastAsia" w:ascii="仿宋_GB2312" w:hAnsi="仿宋_GB2312" w:eastAsia="仿宋_GB2312" w:cs="仿宋_GB2312"/>
          <w:sz w:val="32"/>
          <w:szCs w:val="32"/>
          <w:lang w:eastAsia="zh-CN"/>
        </w:rPr>
      </w:pPr>
    </w:p>
    <w:p w14:paraId="78F0E573">
      <w:pPr>
        <w:spacing w:line="540" w:lineRule="exact"/>
        <w:ind w:firstLine="800" w:firstLineChars="250"/>
        <w:outlineLvl w:val="1"/>
        <w:rPr>
          <w:rFonts w:hint="eastAsia" w:ascii="黑体" w:hAnsi="黑体" w:eastAsia="黑体" w:cs="黑体"/>
          <w:szCs w:val="32"/>
          <w:lang w:val="en-US" w:eastAsia="zh-CN"/>
        </w:rPr>
      </w:pPr>
      <w:r>
        <w:rPr>
          <w:rFonts w:hint="eastAsia" w:ascii="黑体" w:hAnsi="黑体" w:eastAsia="黑体" w:cs="黑体"/>
          <w:sz w:val="32"/>
          <w:szCs w:val="32"/>
          <w:lang w:eastAsia="zh-CN"/>
        </w:rPr>
        <w:t>一、</w:t>
      </w:r>
      <w:r>
        <w:rPr>
          <w:rFonts w:hint="eastAsia" w:ascii="黑体" w:hAnsi="黑体" w:eastAsia="黑体" w:cs="黑体"/>
          <w:szCs w:val="32"/>
        </w:rPr>
        <w:t>编制依据</w:t>
      </w:r>
    </w:p>
    <w:p w14:paraId="35263A86">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outlineLvl w:val="1"/>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《呼伦贝尔市“十五五”</w:t>
      </w:r>
      <w:r>
        <w:rPr>
          <w:rFonts w:hint="eastAsia" w:hAnsi="仿宋_GB2312" w:cs="仿宋_GB2312"/>
          <w:sz w:val="32"/>
          <w:szCs w:val="32"/>
          <w:lang w:val="en-US" w:eastAsia="zh-CN"/>
        </w:rPr>
        <w:t>能源</w:t>
      </w:r>
      <w:r>
        <w:rPr>
          <w:rFonts w:hint="eastAsia" w:ascii="仿宋_GB2312" w:hAnsi="仿宋_GB2312" w:eastAsia="仿宋_GB2312" w:cs="仿宋_GB2312"/>
          <w:sz w:val="32"/>
          <w:szCs w:val="32"/>
        </w:rPr>
        <w:t>发展规划</w:t>
      </w:r>
      <w:r>
        <w:rPr>
          <w:rFonts w:hint="eastAsia" w:ascii="仿宋_GB2312" w:hAnsi="仿宋_GB2312" w:eastAsia="仿宋_GB2312" w:cs="仿宋_GB2312"/>
          <w:sz w:val="32"/>
          <w:szCs w:val="32"/>
          <w:lang w:eastAsia="zh-CN"/>
        </w:rPr>
        <w:t>》</w:t>
      </w:r>
      <w:r>
        <w:rPr>
          <w:rFonts w:hint="eastAsia" w:hAnsi="仿宋_GB2312" w:cs="仿宋_GB2312"/>
          <w:sz w:val="32"/>
          <w:szCs w:val="32"/>
          <w:lang w:eastAsia="zh-CN"/>
        </w:rPr>
        <w:t>（以下简称《规划》）是以《中华人民共和国能源法》为依据，紧密衔接《内蒙古自治区“十五五”能源发展规划》《呼伦贝尔市国民经济和社会发展第十五个五年规划》，深入贯彻习近平总书记关于内蒙古系列重要讲话和指示批示精神，立足国家重要能源和战略资源基地战略定位，全面落实自治区能源发展决策部署。规划在系统总结“十四五”能源发展成就与不足、深入分析“十五五”时期国际国内及自治区能源发展形势的基础上，明确了我市“十五五”时期能源发展的指导思想、基本原则、发展定位、发展目标、重点任务和保障措施，是“十五五”时期呼伦贝尔市能源高质量发展的总体蓝图和行动指南，为制定相关政策、实施行业管理提供重要依据</w:t>
      </w:r>
      <w:r>
        <w:rPr>
          <w:rFonts w:hint="eastAsia" w:ascii="仿宋_GB2312" w:hAnsi="仿宋_GB2312" w:eastAsia="仿宋_GB2312" w:cs="仿宋_GB2312"/>
          <w:sz w:val="32"/>
          <w:szCs w:val="32"/>
        </w:rPr>
        <w:t>。</w:t>
      </w:r>
    </w:p>
    <w:p w14:paraId="6A755D39">
      <w:pPr>
        <w:numPr>
          <w:ilvl w:val="-1"/>
          <w:numId w:val="0"/>
        </w:numPr>
        <w:spacing w:line="560" w:lineRule="exact"/>
        <w:ind w:firstLine="640" w:firstLineChars="200"/>
        <w:rPr>
          <w:rFonts w:hint="eastAsia" w:ascii="黑体" w:hAnsi="黑体" w:eastAsia="黑体" w:cs="黑体"/>
          <w:lang w:eastAsia="zh-CN"/>
        </w:rPr>
      </w:pPr>
      <w:r>
        <w:rPr>
          <w:rFonts w:hint="eastAsia" w:ascii="黑体" w:hAnsi="黑体" w:eastAsia="黑体" w:cs="黑体"/>
          <w:szCs w:val="32"/>
          <w:lang w:eastAsia="zh-CN"/>
        </w:rPr>
        <w:t>二、思路框架</w:t>
      </w:r>
    </w:p>
    <w:p w14:paraId="7CB56B4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规划》紧扣国家能源安全战略和自治区由能源大区向能源强区转型的部署，立足呼伦贝尔能源资源禀赋和产业基础，锚定建设清洁低碳、安全高效的新型能源体系“一个目标”，强化能源绿色供应、能源产业融合发展和能源系统效能保障“三大体系”，聚焦能源保障能力巩固提升、能源生产消费转型提速、能源基础设施加速建设、能源现代产业提质增效、能源治理能力改革深化以及能源合作共享扩围拓面“六大工程”。聚力构建“两带差异化协同，一基核支撑性保障”的呼伦贝尔特色新型能源体系发展新格局。以“六个着力”加快构建立足呼伦贝尔优势、服务国家战略的新型能源体系。</w:t>
      </w:r>
    </w:p>
    <w:p w14:paraId="30A469EF">
      <w:pPr>
        <w:numPr>
          <w:ilvl w:val="-1"/>
          <w:numId w:val="0"/>
        </w:numPr>
        <w:spacing w:line="560" w:lineRule="exact"/>
        <w:ind w:firstLine="640" w:firstLineChars="200"/>
        <w:rPr>
          <w:rFonts w:hint="eastAsia" w:ascii="黑体" w:hAnsi="黑体" w:eastAsia="黑体" w:cs="黑体"/>
          <w:lang w:eastAsia="zh-CN"/>
        </w:rPr>
      </w:pPr>
      <w:r>
        <w:rPr>
          <w:rFonts w:hint="eastAsia" w:ascii="黑体" w:hAnsi="黑体" w:eastAsia="黑体" w:cs="黑体"/>
          <w:lang w:eastAsia="zh-CN"/>
        </w:rPr>
        <w:t>三、指导思想</w:t>
      </w:r>
    </w:p>
    <w:p w14:paraId="21EABF99">
      <w:pPr>
        <w:numPr>
          <w:ilvl w:val="-1"/>
          <w:numId w:val="0"/>
        </w:numPr>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十五五”时期，坚持以习近平新时代中国特色社会主义思想为指导，全面贯彻党的二十大和二十届历次全会精神，深入贯彻落实习近平总书记对内蒙古系列重要讲话重要指示精神。把握新发展阶段、贯彻新发展理念、融入新发展格局，坚定不移走以生态优先、绿色发展为导向的能源高质量发展道路</w:t>
      </w:r>
      <w:r>
        <w:rPr>
          <w:rFonts w:hint="eastAsia" w:hAnsi="仿宋_GB2312" w:cs="仿宋_GB2312"/>
          <w:color w:val="auto"/>
          <w:sz w:val="32"/>
          <w:szCs w:val="32"/>
          <w:lang w:eastAsia="zh-CN"/>
        </w:rPr>
        <w:t>，</w:t>
      </w:r>
      <w:r>
        <w:rPr>
          <w:rFonts w:hint="eastAsia" w:ascii="仿宋_GB2312" w:hAnsi="仿宋_GB2312" w:eastAsia="仿宋_GB2312" w:cs="仿宋_GB2312"/>
          <w:color w:val="auto"/>
          <w:sz w:val="32"/>
          <w:szCs w:val="32"/>
        </w:rPr>
        <w:t>以“四个革命、一个合作”能源安全新战略为根本遵循，统筹推进能源高质量发展和高水平安全，统筹稳增长和调结构，兼顾当前和长远</w:t>
      </w:r>
      <w:r>
        <w:rPr>
          <w:rFonts w:hint="eastAsia" w:ascii="仿宋_GB2312" w:hAnsi="宋体" w:eastAsia="仿宋_GB2312"/>
          <w:b/>
          <w:spacing w:val="-2"/>
          <w:sz w:val="32"/>
        </w:rPr>
        <w:t>着力</w:t>
      </w:r>
      <w:r>
        <w:rPr>
          <w:rFonts w:hint="eastAsia" w:ascii="仿宋_GB2312" w:hAnsi="宋体" w:eastAsia="仿宋_GB2312"/>
          <w:spacing w:val="-2"/>
          <w:sz w:val="32"/>
        </w:rPr>
        <w:t>强化能源安全保障和应急储备新能力，</w:t>
      </w:r>
      <w:r>
        <w:rPr>
          <w:rFonts w:hint="eastAsia" w:ascii="仿宋_GB2312" w:hAnsi="宋体" w:eastAsia="仿宋_GB2312"/>
          <w:b/>
          <w:spacing w:val="-2"/>
          <w:sz w:val="32"/>
        </w:rPr>
        <w:t>着力</w:t>
      </w:r>
      <w:r>
        <w:rPr>
          <w:rFonts w:hint="eastAsia" w:ascii="仿宋_GB2312" w:hAnsi="宋体" w:eastAsia="仿宋_GB2312"/>
          <w:spacing w:val="-2"/>
          <w:sz w:val="32"/>
        </w:rPr>
        <w:t>塑造清洁能源供给新形态，</w:t>
      </w:r>
      <w:r>
        <w:rPr>
          <w:rFonts w:hint="eastAsia" w:ascii="仿宋_GB2312" w:hAnsi="宋体" w:eastAsia="仿宋_GB2312"/>
          <w:b/>
          <w:spacing w:val="-2"/>
          <w:sz w:val="32"/>
        </w:rPr>
        <w:t>着力</w:t>
      </w:r>
      <w:r>
        <w:rPr>
          <w:rFonts w:hint="eastAsia" w:ascii="仿宋_GB2312" w:hAnsi="宋体" w:eastAsia="仿宋_GB2312"/>
          <w:spacing w:val="-2"/>
          <w:sz w:val="32"/>
        </w:rPr>
        <w:t>实现能源消费新转变，</w:t>
      </w:r>
      <w:r>
        <w:rPr>
          <w:rFonts w:hint="eastAsia" w:ascii="仿宋_GB2312" w:hAnsi="宋体" w:eastAsia="仿宋_GB2312"/>
          <w:b/>
          <w:spacing w:val="-2"/>
          <w:sz w:val="32"/>
        </w:rPr>
        <w:t>着力</w:t>
      </w:r>
      <w:r>
        <w:rPr>
          <w:rFonts w:hint="eastAsia" w:ascii="仿宋_GB2312" w:hAnsi="宋体" w:eastAsia="仿宋_GB2312"/>
          <w:spacing w:val="-2"/>
          <w:sz w:val="32"/>
        </w:rPr>
        <w:t>培育科技创新产业新质生产力，</w:t>
      </w:r>
      <w:r>
        <w:rPr>
          <w:rFonts w:hint="eastAsia" w:ascii="仿宋_GB2312" w:hAnsi="宋体" w:eastAsia="仿宋_GB2312"/>
          <w:b/>
          <w:spacing w:val="-2"/>
          <w:sz w:val="32"/>
        </w:rPr>
        <w:t>着力</w:t>
      </w:r>
      <w:r>
        <w:rPr>
          <w:rFonts w:hint="eastAsia" w:ascii="仿宋_GB2312" w:hAnsi="宋体" w:eastAsia="仿宋_GB2312"/>
          <w:spacing w:val="-2"/>
          <w:sz w:val="32"/>
        </w:rPr>
        <w:t>增强能源治理新效能，</w:t>
      </w:r>
      <w:r>
        <w:rPr>
          <w:rFonts w:hint="eastAsia" w:ascii="仿宋_GB2312" w:hAnsi="宋体" w:eastAsia="仿宋_GB2312"/>
          <w:b/>
          <w:spacing w:val="-2"/>
          <w:sz w:val="32"/>
        </w:rPr>
        <w:t>着力</w:t>
      </w:r>
      <w:r>
        <w:rPr>
          <w:rFonts w:hint="eastAsia" w:ascii="仿宋_GB2312" w:hAnsi="宋体" w:eastAsia="仿宋_GB2312"/>
          <w:spacing w:val="-2"/>
          <w:sz w:val="32"/>
        </w:rPr>
        <w:t>拓展能源合作共享新空间，以“</w:t>
      </w:r>
      <w:r>
        <w:rPr>
          <w:rFonts w:hint="eastAsia" w:ascii="仿宋_GB2312" w:hAnsi="宋体" w:eastAsia="仿宋_GB2312"/>
          <w:b/>
          <w:spacing w:val="-2"/>
          <w:sz w:val="32"/>
        </w:rPr>
        <w:t>六个着力</w:t>
      </w:r>
      <w:r>
        <w:rPr>
          <w:rFonts w:hint="eastAsia" w:ascii="仿宋_GB2312" w:hAnsi="宋体" w:eastAsia="仿宋_GB2312"/>
          <w:spacing w:val="-2"/>
          <w:sz w:val="32"/>
        </w:rPr>
        <w:t>”加快构建立足呼伦贝尔优势、服务国家战略的新型能源体系，奋力谱写中国式现代化呼伦贝尔能源经济新篇章</w:t>
      </w:r>
      <w:r>
        <w:rPr>
          <w:rFonts w:hint="eastAsia" w:ascii="仿宋_GB2312" w:hAnsi="仿宋_GB2312" w:eastAsia="仿宋_GB2312" w:cs="仿宋_GB2312"/>
          <w:color w:val="auto"/>
          <w:sz w:val="32"/>
          <w:szCs w:val="32"/>
        </w:rPr>
        <w:t>。</w:t>
      </w:r>
    </w:p>
    <w:p w14:paraId="24597863">
      <w:pPr>
        <w:numPr>
          <w:ilvl w:val="-1"/>
          <w:numId w:val="0"/>
        </w:numPr>
        <w:spacing w:line="560" w:lineRule="exact"/>
        <w:ind w:firstLine="640" w:firstLineChars="200"/>
        <w:rPr>
          <w:rFonts w:hint="eastAsia" w:ascii="黑体" w:hAnsi="黑体" w:eastAsia="黑体" w:cs="黑体"/>
        </w:rPr>
      </w:pPr>
      <w:r>
        <w:rPr>
          <w:rFonts w:hint="eastAsia" w:ascii="黑体" w:hAnsi="黑体" w:eastAsia="黑体" w:cs="黑体"/>
          <w:lang w:eastAsia="zh-CN"/>
        </w:rPr>
        <w:t>四、</w:t>
      </w:r>
      <w:r>
        <w:rPr>
          <w:rFonts w:hint="eastAsia" w:ascii="黑体" w:hAnsi="黑体" w:eastAsia="黑体" w:cs="黑体"/>
        </w:rPr>
        <w:t>发展目标</w:t>
      </w:r>
    </w:p>
    <w:p w14:paraId="7EF76E3C">
      <w:pPr>
        <w:bidi w:val="0"/>
        <w:ind w:firstLine="640" w:firstLineChars="200"/>
        <w:rPr>
          <w:rFonts w:hint="eastAsia"/>
          <w:lang w:eastAsia="zh-CN"/>
        </w:rPr>
      </w:pPr>
      <w:r>
        <w:rPr>
          <w:rFonts w:hint="eastAsia"/>
          <w:lang w:eastAsia="zh-CN"/>
        </w:rPr>
        <w:t>到2030年，新型能源体系建设取得明显进展。能源安全保障能力全面提升，全市能源综合生产能力达到0.64亿吨标准煤左右，煤炭产能力争达到1.3亿吨。能源绿色低碳转型持续突破，全市新能源装机突破1000万千瓦，占电力总装机超过50%，非化石能源发电量比重提升至25%。能源发展与生态保护紧密融合。生态治理和新能源开发有机融合发展，全面推进传统能源与新能源产业耦合实现绿色低碳发展。能源基础设施不断完善，煤炭储备能力提升到150万吨，电力外送能力达到700万千瓦，独立储能电站规模力争达到300万千瓦。能源新质生产力提升能级，推动传统能源产业绿色低碳转型，持续提升风电、光伏、储能、氢能等战略性新兴产业能级。能源治理能力改革纵深发展，能源新业态发展机制不断完善，现代化能源市场体系加速构建。能源合作共享成果提质升级，对蒙对俄能源合作持续深化，居民生活人均用电量达到1200千瓦时。</w:t>
      </w:r>
    </w:p>
    <w:p w14:paraId="3DA25227">
      <w:pPr>
        <w:bidi w:val="0"/>
        <w:ind w:firstLine="640" w:firstLineChars="200"/>
        <w:rPr>
          <w:rFonts w:hint="eastAsia" w:eastAsia="仿宋_GB2312"/>
          <w:lang w:eastAsia="zh-CN"/>
        </w:rPr>
      </w:pPr>
      <w:r>
        <w:rPr>
          <w:rFonts w:hint="eastAsia"/>
          <w:lang w:eastAsia="zh-CN"/>
        </w:rPr>
        <w:t>展望2035年，新型能源体系日臻完善，能源生产、消费结构大幅优化，新能源发电与消纳协同提升，现代能源经济体系更加健全，形成对全市经济社会绿色发展的有力支撑。</w:t>
      </w:r>
    </w:p>
    <w:p w14:paraId="7AF0D5EF">
      <w:pPr>
        <w:numPr>
          <w:ilvl w:val="-1"/>
          <w:numId w:val="0"/>
        </w:numPr>
        <w:spacing w:line="540" w:lineRule="exact"/>
        <w:ind w:firstLine="640" w:firstLineChars="200"/>
        <w:rPr>
          <w:rFonts w:hint="eastAsia" w:ascii="黑体" w:hAnsi="黑体" w:eastAsia="黑体" w:cs="黑体"/>
          <w:lang w:eastAsia="zh-CN"/>
        </w:rPr>
      </w:pPr>
      <w:r>
        <w:rPr>
          <w:rFonts w:hint="eastAsia" w:ascii="黑体" w:hAnsi="黑体" w:eastAsia="黑体" w:cs="黑体"/>
          <w:lang w:eastAsia="zh-CN"/>
        </w:rPr>
        <w:t>五、</w:t>
      </w:r>
      <w:r>
        <w:rPr>
          <w:rFonts w:hint="eastAsia" w:ascii="黑体" w:hAnsi="黑体" w:eastAsia="黑体" w:cs="黑体"/>
        </w:rPr>
        <w:t>主要任务</w:t>
      </w:r>
    </w:p>
    <w:p w14:paraId="0A24447F">
      <w:pPr>
        <w:numPr>
          <w:ilvl w:val="-1"/>
          <w:numId w:val="0"/>
        </w:numPr>
        <w:spacing w:line="540" w:lineRule="exact"/>
        <w:ind w:firstLine="640" w:firstLineChars="200"/>
        <w:rPr>
          <w:rFonts w:hint="eastAsia"/>
          <w:lang w:eastAsia="zh-CN"/>
        </w:rPr>
      </w:pPr>
      <w:r>
        <w:rPr>
          <w:rFonts w:hint="eastAsia"/>
          <w:lang w:eastAsia="zh-CN"/>
        </w:rPr>
        <w:t>（一）能源保障能力巩固提升行动。科学推动煤炭稳产接续，重点推动伊敏三号露天矿、宝日希勒二号露天矿等项目前期工作；加快推进油气稳产增储，力争原油产量稳产在38万吨/年；强化煤电兜底保障能力，力争火电装机规模达到1000万千瓦；健全化石能源储备保障能力，全市建成煤炭储备能力不低于150万吨；提升能源生产安全保障水平，力争全市生产煤矿全部完成智能化建设。</w:t>
      </w:r>
    </w:p>
    <w:p w14:paraId="47059D0C">
      <w:pPr>
        <w:numPr>
          <w:ilvl w:val="-1"/>
          <w:numId w:val="0"/>
        </w:numPr>
        <w:spacing w:line="540" w:lineRule="exact"/>
        <w:ind w:firstLine="640" w:firstLineChars="200"/>
        <w:rPr>
          <w:rFonts w:hint="eastAsia"/>
          <w:lang w:eastAsia="zh-CN"/>
        </w:rPr>
      </w:pPr>
      <w:r>
        <w:rPr>
          <w:rFonts w:hint="eastAsia"/>
          <w:lang w:eastAsia="zh-CN"/>
        </w:rPr>
        <w:t>（二）能源生产消费转型提速行动。以更大力度推进新能源跨越发展，加快推动1200万千瓦呼伦贝尔沙地大型风光基地项目前期工作；提升新能源多场景消纳利用水平，推动新能源与传统产业、新兴产业融合发展；大力推动新能源多元化非电利用，依托阿荣旗化工园区推动风光制氢和绿色燃料项目建设；提升化石能源清洁高效利用水平，推动煤炭绿色智慧开采，促进煤炭与新能源融合发展。</w:t>
      </w:r>
    </w:p>
    <w:p w14:paraId="278C68B7">
      <w:pPr>
        <w:numPr>
          <w:ilvl w:val="-1"/>
          <w:numId w:val="0"/>
        </w:numPr>
        <w:spacing w:line="540" w:lineRule="exact"/>
        <w:ind w:firstLine="640" w:firstLineChars="200"/>
        <w:rPr>
          <w:rFonts w:hint="eastAsia"/>
          <w:lang w:eastAsia="zh-CN"/>
        </w:rPr>
      </w:pPr>
      <w:r>
        <w:rPr>
          <w:rFonts w:hint="eastAsia"/>
          <w:lang w:eastAsia="zh-CN"/>
        </w:rPr>
        <w:t>（三）能源基础设施加速建设行动。持续完善现代能源输送通道建设，推进齐齐哈尔至呼伦贝尔天然气管道项目前期工作；加快提升新型电网支撑配置能力，实施岭东-阿荣旗Ⅱ回500kV线路等主干网架工程；全面强化电力系统调节能力建设，推进5个独立储能电站建设，加快牙克石抽水蓄能电站前期工作，推进在运煤电机组清洁低碳化改造。</w:t>
      </w:r>
    </w:p>
    <w:p w14:paraId="43B4DE14">
      <w:pPr>
        <w:numPr>
          <w:ilvl w:val="-1"/>
          <w:numId w:val="0"/>
        </w:numPr>
        <w:spacing w:line="540" w:lineRule="exact"/>
        <w:ind w:firstLine="640" w:firstLineChars="200"/>
        <w:rPr>
          <w:rFonts w:hint="eastAsia"/>
          <w:lang w:eastAsia="zh-CN"/>
        </w:rPr>
      </w:pPr>
      <w:r>
        <w:rPr>
          <w:rFonts w:hint="eastAsia"/>
          <w:lang w:eastAsia="zh-CN"/>
        </w:rPr>
        <w:t>（四）能源现代产业提质增效行动。持续推进能源产业提质升级，推动传统能源产业向智能化、绿色化、融合化方向转型；加快能源未来产业科学布局，推动氢能产业规模化发展，构建新型储能全产业链体系；全面强化能源领域科技创新，重点推进“人工智能+能源”场景应用，在国能宝日希勒、伊敏等大型露天煤矿推广无人驾驶纯电动矿用卡车及智能矿山综合管控平台应用。</w:t>
      </w:r>
    </w:p>
    <w:p w14:paraId="216FACDB">
      <w:pPr>
        <w:numPr>
          <w:ilvl w:val="-1"/>
          <w:numId w:val="0"/>
        </w:numPr>
        <w:spacing w:line="540" w:lineRule="exact"/>
        <w:ind w:firstLine="640" w:firstLineChars="200"/>
        <w:rPr>
          <w:rFonts w:hint="eastAsia"/>
          <w:lang w:eastAsia="zh-CN"/>
        </w:rPr>
      </w:pPr>
      <w:r>
        <w:rPr>
          <w:rFonts w:hint="eastAsia"/>
          <w:lang w:eastAsia="zh-CN"/>
        </w:rPr>
        <w:t>（五）能源治理能力改革深化行动。优化现代能源治理体系，健全能源新业态发展体制机制，持续优化能源领域营商环境；深化能源电力机制改革，强化煤炭供需监测调度，持续推进电力市场建设；强化能源安全风险管控，健全能源安全管理制度体系，推动安全管理向“事前预防”转型。</w:t>
      </w:r>
    </w:p>
    <w:p w14:paraId="2D9B0603">
      <w:pPr>
        <w:numPr>
          <w:ilvl w:val="-1"/>
          <w:numId w:val="0"/>
        </w:numPr>
        <w:spacing w:line="540" w:lineRule="exact"/>
        <w:ind w:firstLine="640" w:firstLineChars="200"/>
        <w:rPr>
          <w:rFonts w:hint="eastAsia"/>
          <w:lang w:eastAsia="zh-CN"/>
        </w:rPr>
      </w:pPr>
      <w:r>
        <w:rPr>
          <w:rFonts w:hint="eastAsia"/>
          <w:lang w:eastAsia="zh-CN"/>
        </w:rPr>
        <w:t>（六）能源领域合作共享共赢行动。聚力打造向北开放能源枢纽，推进满洲里等口岸跨境输电线路建设；主动融入区域能源协同发展，强化与兴安盟、黑龙江、吉林、辽宁等地能源基础设施互联互通；着力提高能源普惠共享水平，扎实开展农网巩固提升工程，因地制宜推广分布式光伏、分散式风电、生物质能利用等清洁能源开发利用。</w:t>
      </w:r>
    </w:p>
    <w:p w14:paraId="72A3557A">
      <w:pPr>
        <w:spacing w:line="540" w:lineRule="exact"/>
        <w:ind w:firstLine="640" w:firstLineChars="200"/>
        <w:outlineLvl w:val="0"/>
        <w:rPr>
          <w:rFonts w:ascii="黑体" w:hAnsi="黑体" w:eastAsia="黑体"/>
        </w:rPr>
      </w:pPr>
      <w:r>
        <w:rPr>
          <w:rFonts w:hint="eastAsia" w:ascii="黑体" w:hAnsi="黑体" w:eastAsia="黑体"/>
          <w:lang w:eastAsia="zh-CN"/>
        </w:rPr>
        <w:t>六</w:t>
      </w:r>
      <w:r>
        <w:rPr>
          <w:rFonts w:hint="eastAsia" w:ascii="黑体" w:hAnsi="黑体" w:eastAsia="黑体"/>
        </w:rPr>
        <w:t>、意见征求情况</w:t>
      </w:r>
    </w:p>
    <w:p w14:paraId="65EEEB93">
      <w:pPr>
        <w:spacing w:line="540" w:lineRule="exact"/>
        <w:ind w:firstLine="640" w:firstLineChars="200"/>
        <w:rPr>
          <w:rFonts w:hint="default"/>
          <w:lang w:val="en-US" w:eastAsia="zh-CN"/>
        </w:rPr>
      </w:pPr>
      <w:r>
        <w:rPr>
          <w:rFonts w:hint="eastAsia"/>
          <w:lang w:eastAsia="zh-CN"/>
        </w:rPr>
        <w:t>截止目前，《规划》已</w:t>
      </w:r>
      <w:r>
        <w:rPr>
          <w:rFonts w:hint="eastAsia"/>
          <w:lang w:val="en-US" w:eastAsia="zh-CN"/>
        </w:rPr>
        <w:t>于2026年6月26日同步</w:t>
      </w:r>
      <w:r>
        <w:rPr>
          <w:rFonts w:hint="eastAsia"/>
          <w:lang w:eastAsia="zh-CN"/>
        </w:rPr>
        <w:t>向相关市直部门及旗市（区）</w:t>
      </w:r>
      <w:r>
        <w:rPr>
          <w:rFonts w:hint="eastAsia"/>
          <w:lang w:val="en-US" w:eastAsia="zh-CN"/>
        </w:rPr>
        <w:t>能源管理部门</w:t>
      </w:r>
      <w:r>
        <w:rPr>
          <w:rFonts w:hint="eastAsia"/>
          <w:lang w:eastAsia="zh-CN"/>
        </w:rPr>
        <w:t>征求意见，</w:t>
      </w:r>
      <w:r>
        <w:rPr>
          <w:rFonts w:hint="eastAsia"/>
          <w:lang w:val="en-US" w:eastAsia="zh-CN"/>
        </w:rPr>
        <w:t>暂无反馈意见。</w:t>
      </w:r>
    </w:p>
    <w:p w14:paraId="2A58EAFB">
      <w:pPr>
        <w:widowControl/>
        <w:numPr>
          <w:ilvl w:val="-1"/>
          <w:numId w:val="0"/>
        </w:numPr>
        <w:spacing w:line="540" w:lineRule="exact"/>
        <w:ind w:firstLine="640" w:firstLineChars="200"/>
        <w:jc w:val="left"/>
        <w:outlineLvl w:val="9"/>
        <w:rPr>
          <w:rFonts w:hint="eastAsia" w:ascii="仿宋_GB2312" w:eastAsia="仿宋_GB2312" w:hAnsiTheme="minorHAnsi"/>
          <w:lang w:eastAsia="zh-CN"/>
        </w:rPr>
      </w:pPr>
    </w:p>
    <w:p w14:paraId="70E27186">
      <w:pPr>
        <w:widowControl/>
        <w:numPr>
          <w:ilvl w:val="-1"/>
          <w:numId w:val="0"/>
        </w:numPr>
        <w:spacing w:line="540" w:lineRule="exact"/>
        <w:ind w:firstLine="640" w:firstLineChars="200"/>
        <w:jc w:val="left"/>
        <w:outlineLvl w:val="9"/>
        <w:rPr>
          <w:rFonts w:hint="eastAsia" w:ascii="仿宋_GB2312" w:eastAsia="仿宋_GB2312" w:hAnsiTheme="minorHAnsi"/>
          <w:lang w:eastAsia="zh-CN"/>
        </w:rPr>
      </w:pPr>
      <w:bookmarkStart w:id="0" w:name="_GoBack"/>
      <w:bookmarkEnd w:id="0"/>
    </w:p>
    <w:p w14:paraId="4CD2D945">
      <w:pPr>
        <w:widowControl/>
        <w:numPr>
          <w:ilvl w:val="-1"/>
          <w:numId w:val="0"/>
        </w:numPr>
        <w:spacing w:line="540" w:lineRule="exact"/>
        <w:ind w:firstLine="640" w:firstLineChars="200"/>
        <w:jc w:val="left"/>
        <w:outlineLvl w:val="9"/>
        <w:rPr>
          <w:rFonts w:hint="eastAsia" w:ascii="仿宋_GB2312" w:eastAsia="仿宋_GB2312" w:hAnsiTheme="minorHAnsi"/>
          <w:lang w:eastAsia="zh-CN"/>
        </w:rPr>
      </w:pPr>
    </w:p>
    <w:p w14:paraId="710F0052">
      <w:pPr>
        <w:widowControl/>
        <w:numPr>
          <w:ilvl w:val="-1"/>
          <w:numId w:val="0"/>
        </w:numPr>
        <w:spacing w:line="540" w:lineRule="exact"/>
        <w:ind w:firstLine="640" w:firstLineChars="200"/>
        <w:jc w:val="left"/>
        <w:outlineLvl w:val="9"/>
        <w:rPr>
          <w:rFonts w:hint="eastAsia"/>
          <w:lang w:val="en-US" w:eastAsia="zh-CN"/>
        </w:rPr>
      </w:pPr>
      <w:r>
        <w:rPr>
          <w:rFonts w:hint="eastAsia"/>
          <w:lang w:val="en-US" w:eastAsia="zh-CN"/>
        </w:rPr>
        <w:t xml:space="preserve">                        呼伦贝尔市能源局</w:t>
      </w:r>
    </w:p>
    <w:p w14:paraId="033C92FF">
      <w:pPr>
        <w:widowControl/>
        <w:numPr>
          <w:ilvl w:val="-1"/>
          <w:numId w:val="0"/>
        </w:numPr>
        <w:spacing w:line="540" w:lineRule="exact"/>
        <w:ind w:firstLine="640" w:firstLineChars="200"/>
        <w:jc w:val="left"/>
        <w:outlineLvl w:val="9"/>
        <w:rPr>
          <w:rFonts w:hint="default"/>
          <w:lang w:val="en-US" w:eastAsia="zh-CN"/>
        </w:rPr>
      </w:pPr>
      <w:r>
        <w:rPr>
          <w:rFonts w:hint="eastAsia"/>
          <w:lang w:val="en-US" w:eastAsia="zh-CN"/>
        </w:rPr>
        <w:t xml:space="preserve">                        2026年6月26日</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A1"/>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GWZT-EN"/>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A1EEE">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36F234">
                          <w:pPr>
                            <w:pStyle w:val="4"/>
                            <w:rPr>
                              <w:sz w:val="28"/>
                              <w:szCs w:val="28"/>
                            </w:rPr>
                          </w:pPr>
                          <w:r>
                            <w:rPr>
                              <w:sz w:val="28"/>
                              <w:szCs w:val="28"/>
                            </w:rPr>
                            <w:t>—</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B36F234">
                    <w:pPr>
                      <w:pStyle w:val="4"/>
                      <w:rPr>
                        <w:sz w:val="28"/>
                        <w:szCs w:val="28"/>
                      </w:rPr>
                    </w:pPr>
                    <w:r>
                      <w:rPr>
                        <w:sz w:val="28"/>
                        <w:szCs w:val="28"/>
                      </w:rPr>
                      <w:t>—</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w:t>
                    </w:r>
                  </w:p>
                </w:txbxContent>
              </v:textbox>
            </v:shape>
          </w:pict>
        </mc:Fallback>
      </mc:AlternateContent>
    </w:r>
  </w:p>
  <w:p w14:paraId="031AE165">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B35EAE"/>
    <w:multiLevelType w:val="multilevel"/>
    <w:tmpl w:val="50B35EAE"/>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pStyle w:val="3"/>
      <w:suff w:val="nothing"/>
      <w:lvlText w:val="%3．"/>
      <w:lvlJc w:val="left"/>
      <w:pPr>
        <w:ind w:left="278" w:firstLine="400"/>
      </w:pPr>
      <w:rPr>
        <w:rFonts w:hint="default"/>
        <w:color w:val="000000"/>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0E5"/>
    <w:rsid w:val="000F0950"/>
    <w:rsid w:val="00170948"/>
    <w:rsid w:val="001B01B6"/>
    <w:rsid w:val="002C30E5"/>
    <w:rsid w:val="002E1717"/>
    <w:rsid w:val="00304CF6"/>
    <w:rsid w:val="00350224"/>
    <w:rsid w:val="00351427"/>
    <w:rsid w:val="003868F8"/>
    <w:rsid w:val="004132DE"/>
    <w:rsid w:val="00427133"/>
    <w:rsid w:val="004D12CB"/>
    <w:rsid w:val="00503DFA"/>
    <w:rsid w:val="00531C60"/>
    <w:rsid w:val="00645F3C"/>
    <w:rsid w:val="00681074"/>
    <w:rsid w:val="007161E9"/>
    <w:rsid w:val="00765B78"/>
    <w:rsid w:val="007B3D2E"/>
    <w:rsid w:val="009E1C21"/>
    <w:rsid w:val="00A37913"/>
    <w:rsid w:val="00AF7178"/>
    <w:rsid w:val="00B36AB8"/>
    <w:rsid w:val="00BE23DB"/>
    <w:rsid w:val="00CD6740"/>
    <w:rsid w:val="00DB7C9A"/>
    <w:rsid w:val="00E21CA4"/>
    <w:rsid w:val="00E3117A"/>
    <w:rsid w:val="00EE625D"/>
    <w:rsid w:val="00F368F5"/>
    <w:rsid w:val="00FD4D69"/>
    <w:rsid w:val="01D70B46"/>
    <w:rsid w:val="04F75605"/>
    <w:rsid w:val="08FF4F10"/>
    <w:rsid w:val="1AF70129"/>
    <w:rsid w:val="2CC35E7E"/>
    <w:rsid w:val="2DFE6A11"/>
    <w:rsid w:val="2F659F84"/>
    <w:rsid w:val="38F02330"/>
    <w:rsid w:val="3CFF7FDE"/>
    <w:rsid w:val="3DFECBE0"/>
    <w:rsid w:val="3F7F1D43"/>
    <w:rsid w:val="3FEC888B"/>
    <w:rsid w:val="4F7F7E09"/>
    <w:rsid w:val="5F6E75AC"/>
    <w:rsid w:val="63352146"/>
    <w:rsid w:val="697DB47E"/>
    <w:rsid w:val="6BFE4C74"/>
    <w:rsid w:val="6EEB769B"/>
    <w:rsid w:val="6F75C942"/>
    <w:rsid w:val="6FBD4909"/>
    <w:rsid w:val="6FDB9FE1"/>
    <w:rsid w:val="77A71F87"/>
    <w:rsid w:val="77CF9A3F"/>
    <w:rsid w:val="77F6D5C0"/>
    <w:rsid w:val="79BF7A7F"/>
    <w:rsid w:val="7ADA128C"/>
    <w:rsid w:val="7BEFDAB4"/>
    <w:rsid w:val="7BFFA3E5"/>
    <w:rsid w:val="7DFF9BBF"/>
    <w:rsid w:val="7EDCB432"/>
    <w:rsid w:val="7F1C3B9E"/>
    <w:rsid w:val="7FFF1645"/>
    <w:rsid w:val="A5FE89DC"/>
    <w:rsid w:val="AE7F9864"/>
    <w:rsid w:val="AFDD4F80"/>
    <w:rsid w:val="B36FE9F6"/>
    <w:rsid w:val="BD7BB19D"/>
    <w:rsid w:val="CEFFA602"/>
    <w:rsid w:val="CFDBB375"/>
    <w:rsid w:val="D43FD70D"/>
    <w:rsid w:val="D4F7693A"/>
    <w:rsid w:val="D7FF5A5D"/>
    <w:rsid w:val="DC5DA9E1"/>
    <w:rsid w:val="DDD7CAD7"/>
    <w:rsid w:val="DDEAAF11"/>
    <w:rsid w:val="DF7F68B9"/>
    <w:rsid w:val="EDBD4084"/>
    <w:rsid w:val="EFCE1CD5"/>
    <w:rsid w:val="F7FCDCD0"/>
    <w:rsid w:val="FA9FD9BE"/>
    <w:rsid w:val="FAAF05E7"/>
    <w:rsid w:val="FBFE4DDD"/>
    <w:rsid w:val="FCBB6847"/>
    <w:rsid w:val="FCFC85B4"/>
    <w:rsid w:val="FD1F41FC"/>
    <w:rsid w:val="FDB12076"/>
    <w:rsid w:val="FEF504F5"/>
    <w:rsid w:val="FEF758FC"/>
    <w:rsid w:val="FFF95E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eastAsia="仿宋_GB2312" w:hAnsiTheme="minorHAnsi" w:cstheme="minorBidi"/>
      <w:kern w:val="2"/>
      <w:sz w:val="32"/>
      <w:szCs w:val="22"/>
      <w:lang w:val="en-US" w:eastAsia="zh-CN" w:bidi="ar-SA"/>
    </w:rPr>
  </w:style>
  <w:style w:type="paragraph" w:styleId="2">
    <w:name w:val="heading 2"/>
    <w:basedOn w:val="1"/>
    <w:next w:val="1"/>
    <w:qFormat/>
    <w:uiPriority w:val="0"/>
    <w:pPr>
      <w:keepLines/>
      <w:spacing w:line="560" w:lineRule="exact"/>
      <w:ind w:firstLine="640" w:firstLineChars="200"/>
      <w:jc w:val="left"/>
      <w:outlineLvl w:val="1"/>
    </w:pPr>
    <w:rPr>
      <w:rFonts w:ascii="楷体_GB2312" w:hAnsi="楷体_GB2312" w:eastAsia="黑体"/>
      <w:sz w:val="32"/>
    </w:rPr>
  </w:style>
  <w:style w:type="paragraph" w:styleId="3">
    <w:name w:val="heading 3"/>
    <w:basedOn w:val="1"/>
    <w:next w:val="1"/>
    <w:qFormat/>
    <w:uiPriority w:val="0"/>
    <w:pPr>
      <w:keepNext/>
      <w:keepLines/>
      <w:numPr>
        <w:ilvl w:val="2"/>
        <w:numId w:val="1"/>
      </w:numPr>
      <w:spacing w:line="560" w:lineRule="exact"/>
      <w:ind w:firstLine="562" w:firstLineChars="200"/>
      <w:outlineLvl w:val="2"/>
    </w:pPr>
    <w:rPr>
      <w:rFonts w:eastAsia="楷体_GB2312"/>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rPr>
      <w:sz w:val="24"/>
    </w:rPr>
  </w:style>
  <w:style w:type="character" w:styleId="9">
    <w:name w:val="Hyperlink"/>
    <w:basedOn w:val="8"/>
    <w:unhideWhenUsed/>
    <w:qFormat/>
    <w:uiPriority w:val="99"/>
    <w:rPr>
      <w:color w:val="467886"/>
      <w:u w:val="single"/>
    </w:rPr>
  </w:style>
  <w:style w:type="character" w:customStyle="1" w:styleId="10">
    <w:name w:val="页眉 Char"/>
    <w:basedOn w:val="8"/>
    <w:link w:val="5"/>
    <w:qFormat/>
    <w:uiPriority w:val="99"/>
    <w:rPr>
      <w:sz w:val="18"/>
      <w:szCs w:val="18"/>
    </w:rPr>
  </w:style>
  <w:style w:type="character" w:customStyle="1" w:styleId="11">
    <w:name w:val="页脚 Char"/>
    <w:basedOn w:val="8"/>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2137</Words>
  <Characters>2173</Characters>
  <Lines>3</Lines>
  <Paragraphs>1</Paragraphs>
  <TotalTime>3</TotalTime>
  <ScaleCrop>false</ScaleCrop>
  <LinksUpToDate>false</LinksUpToDate>
  <CharactersWithSpaces>2221</CharactersWithSpaces>
  <Application>WPS Office_12.8.2.19550_F1E327BC-269C-435d-A152-05C5408002CA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2021-02-06T17:57:00Z</dcterms:created>
  <dc:creator>计财司文秘</dc:creator>
  <cp:lastModifiedBy>kylin</cp:lastModifiedBy>
  <dcterms:modified xsi:type="dcterms:W3CDTF">2026-06-26T17:06:28Z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M_INFO_ID" linkTarget="-1">
    <vt:lpwstr>-1</vt:lpwstr>
  </property>
  <property fmtid="{D5CDD505-2E9C-101B-9397-08002B2CF9AE}" pid="3" name="ICV">
    <vt:lpwstr>93FAE14577C848758C7285D45665620B_13</vt:lpwstr>
  </property>
  <property fmtid="{D5CDD505-2E9C-101B-9397-08002B2CF9AE}" pid="4" name="KSOProductBuildVer">
    <vt:lpwstr>2052-12.8.2.19550</vt:lpwstr>
  </property>
  <property fmtid="{D5CDD505-2E9C-101B-9397-08002B2CF9AE}" pid="5" name="KSOTemplateDocerSaveRecord">
    <vt:lpwstr>eyJoZGlkIjoiN2Q1YzQ0MDY2OGUxZDgyMDUwMWRkZWFmODVmZWI4NGIiLCJ1c2VySWQiOiIxNzAwNTQ4NTQyIn0=</vt:lpwstr>
  </property>
</Properties>
</file>