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val="0"/>
        <w:spacing w:line="600" w:lineRule="exact"/>
        <w:ind w:right="530"/>
        <w:jc w:val="center"/>
        <w:textAlignment w:val="baseline"/>
        <w:outlineLvl w:val="0"/>
        <w:rPr>
          <w:rFonts w:hint="eastAsia" w:ascii="方正小标宋简体" w:hAnsi="方正小标宋简体" w:eastAsia="方正小标宋简体" w:cs="方正小标宋简体"/>
          <w:spacing w:val="0"/>
          <w:sz w:val="44"/>
          <w:szCs w:val="44"/>
          <w:highlight w:val="none"/>
          <w:lang w:val="en-US" w:eastAsia="zh-CN"/>
        </w:rPr>
      </w:pPr>
      <w:r>
        <w:rPr>
          <w:rFonts w:hint="eastAsia" w:ascii="方正小标宋简体" w:hAnsi="方正小标宋简体" w:eastAsia="方正小标宋简体" w:cs="方正小标宋简体"/>
          <w:spacing w:val="0"/>
          <w:sz w:val="44"/>
          <w:szCs w:val="44"/>
          <w:highlight w:val="none"/>
          <w:lang w:val="en-US" w:eastAsia="zh-CN"/>
        </w:rPr>
        <w:t>《关于加快推进现代农业高质量发展</w:t>
      </w:r>
    </w:p>
    <w:p>
      <w:pPr>
        <w:keepNext w:val="0"/>
        <w:keepLines w:val="0"/>
        <w:pageBreakBefore w:val="0"/>
        <w:widowControl/>
        <w:kinsoku/>
        <w:wordWrap/>
        <w:overflowPunct/>
        <w:topLinePunct w:val="0"/>
        <w:autoSpaceDE w:val="0"/>
        <w:autoSpaceDN w:val="0"/>
        <w:bidi w:val="0"/>
        <w:adjustRightInd w:val="0"/>
        <w:snapToGrid w:val="0"/>
        <w:spacing w:line="600" w:lineRule="exact"/>
        <w:ind w:right="530"/>
        <w:jc w:val="center"/>
        <w:textAlignment w:val="baseline"/>
        <w:outlineLvl w:val="0"/>
        <w:rPr>
          <w:rFonts w:hint="eastAsia" w:ascii="方正小标宋简体" w:hAnsi="方正小标宋简体" w:eastAsia="方正小标宋简体" w:cs="方正小标宋简体"/>
          <w:spacing w:val="0"/>
          <w:sz w:val="44"/>
          <w:szCs w:val="44"/>
          <w:highlight w:val="none"/>
          <w:lang w:val="en-US" w:eastAsia="zh-CN"/>
        </w:rPr>
      </w:pPr>
      <w:r>
        <w:rPr>
          <w:rFonts w:hint="eastAsia" w:ascii="方正小标宋简体" w:hAnsi="方正小标宋简体" w:eastAsia="方正小标宋简体" w:cs="方正小标宋简体"/>
          <w:spacing w:val="0"/>
          <w:sz w:val="44"/>
          <w:szCs w:val="44"/>
          <w:highlight w:val="none"/>
          <w:lang w:val="en-US" w:eastAsia="zh-CN"/>
        </w:rPr>
        <w:t>的意见》起草说明</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为加快推进现代农业高质量发展，推动我市由农业资源大市向产业强市转变，</w:t>
      </w:r>
      <w:r>
        <w:rPr>
          <w:rFonts w:hint="eastAsia" w:ascii="仿宋_GB2312" w:hAnsi="仿宋_GB2312" w:eastAsia="仿宋_GB2312" w:cs="仿宋_GB2312"/>
          <w:color w:val="auto"/>
          <w:sz w:val="32"/>
          <w:szCs w:val="32"/>
          <w:lang w:eastAsia="zh-CN"/>
        </w:rPr>
        <w:t>市农牧局起草了《</w:t>
      </w:r>
      <w:r>
        <w:rPr>
          <w:rFonts w:hint="eastAsia" w:ascii="仿宋_GB2312" w:hAnsi="仿宋_GB2312" w:eastAsia="仿宋_GB2312" w:cs="仿宋_GB2312"/>
          <w:color w:val="auto"/>
          <w:sz w:val="32"/>
          <w:szCs w:val="32"/>
          <w:lang w:val="en-US" w:eastAsia="zh-CN"/>
        </w:rPr>
        <w:t>关于加快推进现代农业高质量发展的意见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highlight w:val="none"/>
          <w:lang w:val="en-US" w:eastAsia="zh-CN"/>
        </w:rPr>
        <w:t>现将起草情况说明下。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pacing w:val="0"/>
          <w:sz w:val="32"/>
          <w:szCs w:val="32"/>
          <w:highlight w:val="none"/>
        </w:rPr>
      </w:pPr>
      <w:r>
        <w:rPr>
          <w:rFonts w:hint="eastAsia" w:ascii="黑体" w:hAnsi="黑体" w:eastAsia="黑体" w:cs="黑体"/>
          <w:b w:val="0"/>
          <w:bCs w:val="0"/>
          <w:spacing w:val="0"/>
          <w:sz w:val="32"/>
          <w:szCs w:val="32"/>
          <w:highlight w:val="none"/>
          <w:lang w:val="en-US" w:eastAsia="zh-CN"/>
        </w:rPr>
        <w:t>一</w:t>
      </w:r>
      <w:r>
        <w:rPr>
          <w:rFonts w:hint="eastAsia" w:ascii="黑体" w:hAnsi="黑体" w:eastAsia="黑体" w:cs="黑体"/>
          <w:b w:val="0"/>
          <w:bCs w:val="0"/>
          <w:spacing w:val="0"/>
          <w:sz w:val="32"/>
          <w:szCs w:val="32"/>
          <w:highlight w:val="none"/>
          <w:lang w:eastAsia="zh-CN"/>
        </w:rPr>
        <w:t>、</w:t>
      </w:r>
      <w:r>
        <w:rPr>
          <w:rFonts w:hint="eastAsia" w:ascii="黑体" w:hAnsi="黑体" w:eastAsia="黑体" w:cs="黑体"/>
          <w:b w:val="0"/>
          <w:bCs w:val="0"/>
          <w:spacing w:val="0"/>
          <w:sz w:val="32"/>
          <w:szCs w:val="32"/>
          <w:highlight w:val="none"/>
        </w:rPr>
        <w:t>起草背景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spacing w:val="0"/>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近年来，我市大力推进粮食产能提升，2025年产量达到141.48亿斤，但粮食单产水平相对较低，与全区以及东四盟市还有较大差距。根据国家新一轮千亿斤粮食产能提升行动部署，结合</w:t>
      </w:r>
      <w:r>
        <w:rPr>
          <w:rFonts w:hint="eastAsia" w:ascii="仿宋_GB2312" w:hAnsi="仿宋_GB2312" w:eastAsia="仿宋_GB2312" w:cs="仿宋_GB2312"/>
          <w:b w:val="0"/>
          <w:bCs w:val="0"/>
          <w:color w:val="auto"/>
          <w:sz w:val="32"/>
          <w:szCs w:val="32"/>
          <w:highlight w:val="none"/>
          <w:u w:val="none"/>
          <w:lang w:val="en-US" w:eastAsia="zh-CN"/>
        </w:rPr>
        <w:t>《内蒙古自治区建设国家重要农畜产品生产基地促进条例》《内蒙古自治区人民政府关于高质量建设国家重要农畜产品生产基地的实施意见》等相关文件，</w:t>
      </w:r>
      <w:r>
        <w:rPr>
          <w:rFonts w:hint="eastAsia" w:ascii="仿宋_GB2312" w:hAnsi="仿宋_GB2312" w:eastAsia="仿宋_GB2312" w:cs="仿宋_GB2312"/>
          <w:color w:val="auto"/>
          <w:sz w:val="32"/>
          <w:szCs w:val="32"/>
          <w:highlight w:val="none"/>
          <w:lang w:val="en-US" w:eastAsia="zh-CN"/>
        </w:rPr>
        <w:t>聚焦粮食单产提升这一核心目标，就如何解决好农田、种子、农机、农技、加工、品牌等一系列问题，提出具体措施，起草了</w:t>
      </w:r>
      <w:r>
        <w:rPr>
          <w:rFonts w:hint="eastAsia" w:ascii="仿宋_GB2312" w:hAnsi="仿宋_GB2312" w:eastAsia="仿宋_GB2312" w:cs="仿宋_GB2312"/>
          <w:b w:val="0"/>
          <w:bCs w:val="0"/>
          <w:spacing w:val="0"/>
          <w:sz w:val="32"/>
          <w:szCs w:val="32"/>
          <w:highlight w:val="none"/>
          <w:lang w:val="en-US" w:eastAsia="zh-CN"/>
        </w:rPr>
        <w:t>《意见》。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pacing w:val="0"/>
          <w:sz w:val="32"/>
          <w:szCs w:val="32"/>
          <w:highlight w:val="none"/>
          <w:lang w:val="en-US" w:eastAsia="zh-CN"/>
        </w:rPr>
      </w:pPr>
      <w:r>
        <w:rPr>
          <w:rFonts w:hint="eastAsia" w:ascii="黑体" w:hAnsi="黑体" w:eastAsia="黑体" w:cs="黑体"/>
          <w:b w:val="0"/>
          <w:bCs w:val="0"/>
          <w:spacing w:val="0"/>
          <w:sz w:val="32"/>
          <w:szCs w:val="32"/>
          <w:highlight w:val="none"/>
          <w:lang w:val="en-US" w:eastAsia="zh-CN"/>
        </w:rPr>
        <w:t>二、修改完善情况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形成初稿后征求了22个相关部门和旗市区意见建议，反馈意见9条，其中：全部采纳4条、部分采纳4条、未采纳1条。11月21日向市委、市政府进行汇报之后再次修改完善。在此基础上，按照市委主要领导修改意见修改完善。</w:t>
      </w:r>
      <w:bookmarkStart w:id="0" w:name="_GoBack"/>
      <w:bookmarkEnd w:id="0"/>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b w:val="0"/>
          <w:bCs w:val="0"/>
          <w:spacing w:val="0"/>
          <w:sz w:val="32"/>
          <w:szCs w:val="32"/>
          <w:highlight w:val="none"/>
          <w:lang w:val="en-US" w:eastAsia="zh-CN"/>
        </w:rPr>
      </w:pPr>
      <w:r>
        <w:rPr>
          <w:rFonts w:hint="eastAsia" w:ascii="黑体" w:hAnsi="黑体" w:eastAsia="黑体" w:cs="黑体"/>
          <w:b w:val="0"/>
          <w:bCs w:val="0"/>
          <w:spacing w:val="0"/>
          <w:sz w:val="32"/>
          <w:szCs w:val="32"/>
          <w:highlight w:val="none"/>
          <w:lang w:val="en-US" w:eastAsia="zh-CN"/>
        </w:rPr>
        <w:t>基本框架和主要内容</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意见》共六大方面18条，核心内容是：聚焦粮食单产提升，突出水肥一体化，从提高粮食产能、强化科技赋能、改善生态环境、延伸产业链条、优化经营机制、促进农民增收六大方面，全要素一体化推进，到2030年将我市打造成全区现代农业高质量发展示范区。具体如下：</w:t>
      </w:r>
    </w:p>
    <w:p>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600" w:lineRule="exact"/>
        <w:ind w:firstLine="642"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1.提高粮食产能。</w:t>
      </w:r>
      <w:r>
        <w:rPr>
          <w:rFonts w:hint="eastAsia" w:ascii="仿宋_GB2312" w:hAnsi="仿宋_GB2312" w:eastAsia="仿宋_GB2312" w:cs="仿宋_GB2312"/>
          <w:b w:val="0"/>
          <w:bCs w:val="0"/>
          <w:color w:val="auto"/>
          <w:sz w:val="32"/>
          <w:szCs w:val="32"/>
          <w:highlight w:val="none"/>
          <w:lang w:val="en-US" w:eastAsia="zh-CN"/>
        </w:rPr>
        <w:t>包括：稳定种植面积、全力推进水肥一体化、扩大高标准农田建设规模3条具体措施，其中水肥一体化。是整个意见的核心。</w:t>
      </w:r>
    </w:p>
    <w:p>
      <w:pPr>
        <w:pStyle w:val="19"/>
        <w:keepNext w:val="0"/>
        <w:keepLines w:val="0"/>
        <w:pageBreakBefore w:val="0"/>
        <w:numPr>
          <w:ilvl w:val="0"/>
          <w:numId w:val="0"/>
        </w:numPr>
        <w:kinsoku/>
        <w:wordWrap/>
        <w:overflowPunct/>
        <w:topLinePunct w:val="0"/>
        <w:autoSpaceDE/>
        <w:bidi w:val="0"/>
        <w:adjustRightInd/>
        <w:snapToGrid/>
        <w:spacing w:beforeAutospacing="0" w:afterAutospacing="0" w:line="600" w:lineRule="exact"/>
        <w:ind w:firstLine="642" w:firstLineChars="200"/>
        <w:jc w:val="both"/>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u w:val="none"/>
          <w:lang w:val="en-US" w:eastAsia="zh-CN"/>
        </w:rPr>
        <w:t>2.强化科技赋能。</w:t>
      </w:r>
      <w:r>
        <w:rPr>
          <w:rFonts w:hint="eastAsia" w:ascii="仿宋_GB2312" w:hAnsi="仿宋_GB2312" w:eastAsia="仿宋_GB2312" w:cs="仿宋_GB2312"/>
          <w:color w:val="auto"/>
          <w:sz w:val="32"/>
          <w:szCs w:val="32"/>
          <w:highlight w:val="none"/>
          <w:lang w:val="en-US" w:eastAsia="zh-CN"/>
        </w:rPr>
        <w:t>包括：强化品种繁育推广、提升农机装备水平、强化科技支撑</w:t>
      </w:r>
      <w:r>
        <w:rPr>
          <w:rFonts w:hint="eastAsia" w:ascii="仿宋_GB2312" w:hAnsi="仿宋_GB2312" w:eastAsia="仿宋_GB2312" w:cs="仿宋_GB2312"/>
          <w:b w:val="0"/>
          <w:bCs w:val="0"/>
          <w:color w:val="auto"/>
          <w:sz w:val="32"/>
          <w:szCs w:val="32"/>
          <w:highlight w:val="none"/>
          <w:lang w:val="en-US" w:eastAsia="zh-CN"/>
        </w:rPr>
        <w:t>3条具体措施。</w:t>
      </w:r>
    </w:p>
    <w:p>
      <w:pPr>
        <w:keepNext w:val="0"/>
        <w:keepLines w:val="0"/>
        <w:pageBreakBefore w:val="0"/>
        <w:kinsoku/>
        <w:wordWrap/>
        <w:overflowPunct/>
        <w:topLinePunct w:val="0"/>
        <w:bidi w:val="0"/>
        <w:spacing w:line="600" w:lineRule="exact"/>
        <w:ind w:firstLine="642" w:firstLineChars="200"/>
        <w:rPr>
          <w:rFonts w:hint="eastAsia" w:ascii="仿宋_GB2312" w:hAnsi="仿宋_GB2312" w:eastAsia="仿宋_GB2312" w:cs="仿宋_GB2312"/>
          <w:b w:val="0"/>
          <w:bCs w:val="0"/>
          <w:color w:val="auto"/>
          <w:kern w:val="3"/>
          <w:sz w:val="32"/>
          <w:szCs w:val="32"/>
          <w:highlight w:val="none"/>
          <w:lang w:val="en-US" w:eastAsia="zh-CN" w:bidi="ar-SA"/>
        </w:rPr>
      </w:pPr>
      <w:r>
        <w:rPr>
          <w:rFonts w:hint="eastAsia" w:ascii="仿宋_GB2312" w:hAnsi="仿宋_GB2312" w:eastAsia="仿宋_GB2312" w:cs="仿宋_GB2312"/>
          <w:b/>
          <w:bCs/>
          <w:color w:val="auto"/>
          <w:sz w:val="32"/>
          <w:szCs w:val="32"/>
          <w:highlight w:val="none"/>
          <w:lang w:val="en-US" w:eastAsia="zh-CN"/>
        </w:rPr>
        <w:t>3.改善生态环境。</w:t>
      </w:r>
      <w:r>
        <w:rPr>
          <w:rFonts w:hint="eastAsia" w:ascii="仿宋_GB2312" w:hAnsi="仿宋_GB2312" w:eastAsia="仿宋_GB2312" w:cs="仿宋_GB2312"/>
          <w:b w:val="0"/>
          <w:bCs w:val="0"/>
          <w:color w:val="auto"/>
          <w:sz w:val="32"/>
          <w:szCs w:val="32"/>
          <w:highlight w:val="none"/>
          <w:lang w:val="en-US" w:eastAsia="zh-CN"/>
        </w:rPr>
        <w:t>包括：</w:t>
      </w:r>
      <w:r>
        <w:rPr>
          <w:rFonts w:hint="eastAsia" w:ascii="仿宋_GB2312" w:hAnsi="仿宋_GB2312" w:eastAsia="仿宋_GB2312" w:cs="仿宋_GB2312"/>
          <w:b w:val="0"/>
          <w:bCs w:val="0"/>
          <w:color w:val="auto"/>
          <w:kern w:val="3"/>
          <w:sz w:val="32"/>
          <w:szCs w:val="32"/>
          <w:highlight w:val="none"/>
          <w:lang w:val="en-US" w:eastAsia="zh-CN" w:bidi="ar-SA"/>
        </w:rPr>
        <w:t>加大黑土地保护力度、强化农业绿色化发展2条具体措施。</w:t>
      </w:r>
    </w:p>
    <w:p>
      <w:pPr>
        <w:keepNext w:val="0"/>
        <w:keepLines w:val="0"/>
        <w:pageBreakBefore w:val="0"/>
        <w:kinsoku/>
        <w:wordWrap/>
        <w:overflowPunct/>
        <w:topLinePunct w:val="0"/>
        <w:bidi w:val="0"/>
        <w:spacing w:line="600" w:lineRule="exact"/>
        <w:ind w:firstLine="642"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4.延伸产业链条。</w:t>
      </w:r>
      <w:r>
        <w:rPr>
          <w:rFonts w:hint="eastAsia" w:ascii="仿宋_GB2312" w:hAnsi="仿宋_GB2312" w:eastAsia="仿宋_GB2312" w:cs="仿宋_GB2312"/>
          <w:b w:val="0"/>
          <w:bCs w:val="0"/>
          <w:color w:val="auto"/>
          <w:sz w:val="32"/>
          <w:szCs w:val="32"/>
          <w:highlight w:val="none"/>
          <w:lang w:val="en-US" w:eastAsia="zh-CN"/>
        </w:rPr>
        <w:t>包括</w:t>
      </w:r>
      <w:r>
        <w:rPr>
          <w:rFonts w:hint="eastAsia" w:ascii="仿宋_GB2312" w:hAnsi="仿宋_GB2312" w:eastAsia="仿宋_GB2312" w:cs="仿宋_GB2312"/>
          <w:b w:val="0"/>
          <w:bCs w:val="0"/>
          <w:color w:val="auto"/>
          <w:kern w:val="3"/>
          <w:sz w:val="32"/>
          <w:szCs w:val="32"/>
          <w:highlight w:val="none"/>
          <w:lang w:val="en-US" w:eastAsia="zh-CN" w:bidi="ar-SA"/>
        </w:rPr>
        <w:t>：打造大豆精深加工基地、壮大小麦产业集群、培育油菜加工产业、构建甜菜循环产业链、加大农业品牌宣传营销5条具体措施。</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2" w:firstLineChars="200"/>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lang w:val="en-US" w:eastAsia="zh-CN"/>
        </w:rPr>
        <w:t>5.优化经营机制。</w:t>
      </w:r>
      <w:r>
        <w:rPr>
          <w:rFonts w:hint="eastAsia" w:ascii="仿宋_GB2312" w:hAnsi="仿宋_GB2312" w:eastAsia="仿宋_GB2312" w:cs="仿宋_GB2312"/>
          <w:b w:val="0"/>
          <w:bCs w:val="0"/>
          <w:color w:val="auto"/>
          <w:sz w:val="32"/>
          <w:szCs w:val="32"/>
          <w:highlight w:val="none"/>
          <w:u w:val="none"/>
          <w:lang w:val="en-US" w:eastAsia="zh-CN"/>
        </w:rPr>
        <w:t>包括：稳步推进二轮土地延包、培育新型农业经营主体、加强社会化服务3条具体措施</w:t>
      </w:r>
      <w:r>
        <w:rPr>
          <w:rFonts w:hint="eastAsia" w:ascii="仿宋_GB2312" w:hAnsi="仿宋_GB2312" w:eastAsia="仿宋_GB2312" w:cs="仿宋_GB2312"/>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642"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6.促进农民增收。</w:t>
      </w:r>
      <w:r>
        <w:rPr>
          <w:rFonts w:hint="eastAsia" w:ascii="仿宋_GB2312" w:hAnsi="仿宋_GB2312" w:eastAsia="仿宋_GB2312" w:cs="仿宋_GB2312"/>
          <w:b w:val="0"/>
          <w:bCs w:val="0"/>
          <w:color w:val="auto"/>
          <w:sz w:val="32"/>
          <w:szCs w:val="32"/>
          <w:highlight w:val="none"/>
          <w:u w:val="none"/>
          <w:lang w:val="en-US" w:eastAsia="zh-CN"/>
        </w:rPr>
        <w:t>包括：加强农民培训、拓宽农民增收渠道2条具体措施。</w:t>
      </w:r>
    </w:p>
    <w:p>
      <w:pPr>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540" w:lineRule="exact"/>
        <w:ind w:left="0" w:right="0" w:firstLine="640"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snapToGrid/>
          <w:color w:val="000000"/>
          <w:kern w:val="2"/>
          <w:sz w:val="32"/>
          <w:szCs w:val="32"/>
          <w:highlight w:val="none"/>
          <w:lang w:val="en-US" w:eastAsia="zh-CN"/>
        </w:rPr>
        <w:t>最后，在保障措施方面，建立联席会议制度，明确旗市区、乡镇、村级责任，发挥农垦等国有企业示范作用。市、旗两级设立专项资金，并争取上级资金，强化资金监管与绩效评价。将目标任务纳入绩效考核指标，建立动态监测评估体系。</w:t>
      </w:r>
    </w:p>
    <w:sectPr>
      <w:footerReference r:id="rId3" w:type="default"/>
      <w:pgSz w:w="11906" w:h="16838"/>
      <w:pgMar w:top="2098" w:right="1531" w:bottom="1984" w:left="1531" w:header="851" w:footer="992" w:gutter="0"/>
      <w:pgBorders w:offsetFrom="page">
        <w:top w:val="none" w:sz="0" w:space="0"/>
        <w:left w:val="none" w:sz="0" w:space="0"/>
        <w:bottom w:val="none" w:sz="0" w:space="0"/>
        <w:right w:val="none" w:sz="0" w:space="0"/>
      </w:pgBorders>
      <w:pgNumType w:fmt="numberInDash"/>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vert="horz" wrap="none" lIns="0" tIns="0" rIns="0" bIns="0" anchor="t" upright="false">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Ll1uVLQAAAABQEAAA8AAAAAAAAAAQAgAAAAOAAAAGRycy9k&#10;b3ducmV2LnhtbFBLAQIUABQAAAAIAIdO4kDgUES3uwEAAFQDAAAOAAAAAAAAAAEAIAAAADUBAABk&#10;cnMvZTJvRG9jLnhtbFBLBQYAAAAABgAGAFkBAABiBQAAAAA=&#10;">
              <v:fill on="f" focussize="0,0"/>
              <v:stroke on="f"/>
              <v:imagedata o:title=""/>
              <o:lock v:ext="edit" aspectratio="f"/>
              <v:textbox inset="0mm,0mm,0mm,0mm" style="mso-fit-shape-to-text:t;">
                <w:txbxContent>
                  <w:p>
                    <w:pPr>
                      <w:pStyle w:val="6"/>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345CB0"/>
    <w:multiLevelType w:val="singleLevel"/>
    <w:tmpl w:val="EB345CB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8"/>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wMmM2NDZjNTI2ZWNiYjM5ODYyZGUxMDYwYmE0MDYifQ=="/>
  </w:docVars>
  <w:rsids>
    <w:rsidRoot w:val="00000000"/>
    <w:rsid w:val="00660B12"/>
    <w:rsid w:val="008B12B3"/>
    <w:rsid w:val="016A347B"/>
    <w:rsid w:val="02FB7B32"/>
    <w:rsid w:val="03522419"/>
    <w:rsid w:val="03DB240E"/>
    <w:rsid w:val="06E53F8C"/>
    <w:rsid w:val="079A487A"/>
    <w:rsid w:val="07CC6FCE"/>
    <w:rsid w:val="08FE3527"/>
    <w:rsid w:val="0B563342"/>
    <w:rsid w:val="0B602A42"/>
    <w:rsid w:val="0C9378A1"/>
    <w:rsid w:val="0C98553D"/>
    <w:rsid w:val="0F2E7896"/>
    <w:rsid w:val="0F4E3545"/>
    <w:rsid w:val="0FEE5277"/>
    <w:rsid w:val="113FC449"/>
    <w:rsid w:val="119A6D01"/>
    <w:rsid w:val="12333415"/>
    <w:rsid w:val="15205ED3"/>
    <w:rsid w:val="158449E4"/>
    <w:rsid w:val="170E5063"/>
    <w:rsid w:val="182B5E9D"/>
    <w:rsid w:val="185F606E"/>
    <w:rsid w:val="197378A2"/>
    <w:rsid w:val="1A5D3725"/>
    <w:rsid w:val="1ABB1980"/>
    <w:rsid w:val="1AD35795"/>
    <w:rsid w:val="1BC95181"/>
    <w:rsid w:val="1C3C41AE"/>
    <w:rsid w:val="1CAF1283"/>
    <w:rsid w:val="1D943902"/>
    <w:rsid w:val="1E73FE6B"/>
    <w:rsid w:val="2154104E"/>
    <w:rsid w:val="21D101DA"/>
    <w:rsid w:val="26910E4D"/>
    <w:rsid w:val="26FB49DD"/>
    <w:rsid w:val="28213C6B"/>
    <w:rsid w:val="29AA3221"/>
    <w:rsid w:val="2B395AE8"/>
    <w:rsid w:val="2BF96284"/>
    <w:rsid w:val="2D4B38B1"/>
    <w:rsid w:val="2D7FF389"/>
    <w:rsid w:val="30E20088"/>
    <w:rsid w:val="31C854D0"/>
    <w:rsid w:val="331D7A9E"/>
    <w:rsid w:val="33AD6122"/>
    <w:rsid w:val="34831B82"/>
    <w:rsid w:val="34EFE6E3"/>
    <w:rsid w:val="35AA18F8"/>
    <w:rsid w:val="36165889"/>
    <w:rsid w:val="372928CC"/>
    <w:rsid w:val="396F32A0"/>
    <w:rsid w:val="3B1E43B3"/>
    <w:rsid w:val="3B7F601E"/>
    <w:rsid w:val="3BEF5393"/>
    <w:rsid w:val="3C673918"/>
    <w:rsid w:val="3DEEA09D"/>
    <w:rsid w:val="3E630A5B"/>
    <w:rsid w:val="3E7F254E"/>
    <w:rsid w:val="3E7FAA2E"/>
    <w:rsid w:val="3E8D694F"/>
    <w:rsid w:val="3F7E6D72"/>
    <w:rsid w:val="3FD762B7"/>
    <w:rsid w:val="3FFF52E9"/>
    <w:rsid w:val="400E0E9A"/>
    <w:rsid w:val="41555BBC"/>
    <w:rsid w:val="456C5197"/>
    <w:rsid w:val="46F450DE"/>
    <w:rsid w:val="47541B6A"/>
    <w:rsid w:val="47AD00B5"/>
    <w:rsid w:val="4AC42881"/>
    <w:rsid w:val="4AEA0E3B"/>
    <w:rsid w:val="4B410375"/>
    <w:rsid w:val="4BD1779F"/>
    <w:rsid w:val="4C7327B1"/>
    <w:rsid w:val="4DB85AC7"/>
    <w:rsid w:val="4EA0565D"/>
    <w:rsid w:val="4F2E701C"/>
    <w:rsid w:val="51976F41"/>
    <w:rsid w:val="52024883"/>
    <w:rsid w:val="542E6563"/>
    <w:rsid w:val="55AA2F55"/>
    <w:rsid w:val="56531A30"/>
    <w:rsid w:val="58070251"/>
    <w:rsid w:val="58455883"/>
    <w:rsid w:val="58842202"/>
    <w:rsid w:val="59264FCD"/>
    <w:rsid w:val="599819C5"/>
    <w:rsid w:val="5AB5456B"/>
    <w:rsid w:val="5BBD814E"/>
    <w:rsid w:val="5CF5338A"/>
    <w:rsid w:val="5D7D9B04"/>
    <w:rsid w:val="5EC374CA"/>
    <w:rsid w:val="5EDAE9B8"/>
    <w:rsid w:val="5EE640A7"/>
    <w:rsid w:val="5F407FC7"/>
    <w:rsid w:val="5F5E2321"/>
    <w:rsid w:val="5F77968D"/>
    <w:rsid w:val="5FDB3DA4"/>
    <w:rsid w:val="5FFFE20D"/>
    <w:rsid w:val="634E31D8"/>
    <w:rsid w:val="6364443E"/>
    <w:rsid w:val="64147F4E"/>
    <w:rsid w:val="644FA109"/>
    <w:rsid w:val="667B2536"/>
    <w:rsid w:val="66AE4B75"/>
    <w:rsid w:val="6768443C"/>
    <w:rsid w:val="697AAA46"/>
    <w:rsid w:val="6A372C18"/>
    <w:rsid w:val="6AC318D0"/>
    <w:rsid w:val="6BBF3BFE"/>
    <w:rsid w:val="6D02333A"/>
    <w:rsid w:val="6D0A59F9"/>
    <w:rsid w:val="6DDFEC00"/>
    <w:rsid w:val="6DE54E8C"/>
    <w:rsid w:val="6E5A1390"/>
    <w:rsid w:val="6E7F46B5"/>
    <w:rsid w:val="6ECE5A87"/>
    <w:rsid w:val="6F7C6004"/>
    <w:rsid w:val="6FDFC2C8"/>
    <w:rsid w:val="702D0248"/>
    <w:rsid w:val="71687B5B"/>
    <w:rsid w:val="72F365A0"/>
    <w:rsid w:val="73DF0C0C"/>
    <w:rsid w:val="744F471E"/>
    <w:rsid w:val="7476279E"/>
    <w:rsid w:val="75131E18"/>
    <w:rsid w:val="752B5127"/>
    <w:rsid w:val="754252CD"/>
    <w:rsid w:val="769242CB"/>
    <w:rsid w:val="76BF97F3"/>
    <w:rsid w:val="7747D764"/>
    <w:rsid w:val="777D3C34"/>
    <w:rsid w:val="77CEC052"/>
    <w:rsid w:val="78025044"/>
    <w:rsid w:val="79312F28"/>
    <w:rsid w:val="7A886A8A"/>
    <w:rsid w:val="7B57BC32"/>
    <w:rsid w:val="7D7D1AF5"/>
    <w:rsid w:val="7E235FBD"/>
    <w:rsid w:val="7E6F13ED"/>
    <w:rsid w:val="7E872CD5"/>
    <w:rsid w:val="7EA36676"/>
    <w:rsid w:val="7EDD4170"/>
    <w:rsid w:val="7EF74C39"/>
    <w:rsid w:val="7F3D8011"/>
    <w:rsid w:val="7F730AB7"/>
    <w:rsid w:val="7FFF4417"/>
    <w:rsid w:val="96FCD1C0"/>
    <w:rsid w:val="9B0F7F46"/>
    <w:rsid w:val="9E73C04E"/>
    <w:rsid w:val="AB7B08EB"/>
    <w:rsid w:val="ACFFD2C3"/>
    <w:rsid w:val="B6FFC643"/>
    <w:rsid w:val="B7EB271E"/>
    <w:rsid w:val="B7FE007F"/>
    <w:rsid w:val="BD8F7FEA"/>
    <w:rsid w:val="BED770B5"/>
    <w:rsid w:val="C5EF10D5"/>
    <w:rsid w:val="CE7BC3B2"/>
    <w:rsid w:val="CFECA952"/>
    <w:rsid w:val="D1FC5293"/>
    <w:rsid w:val="D2EF4B81"/>
    <w:rsid w:val="D7FEADCB"/>
    <w:rsid w:val="D9763266"/>
    <w:rsid w:val="DAFBF2AB"/>
    <w:rsid w:val="DBEFBB68"/>
    <w:rsid w:val="DCFFF07B"/>
    <w:rsid w:val="DECD3809"/>
    <w:rsid w:val="DF3F53FB"/>
    <w:rsid w:val="DFB61AB1"/>
    <w:rsid w:val="DFEF4EBE"/>
    <w:rsid w:val="E63FCB9A"/>
    <w:rsid w:val="E77F474F"/>
    <w:rsid w:val="EB8F3AB5"/>
    <w:rsid w:val="EFB44F0D"/>
    <w:rsid w:val="EFDAC38B"/>
    <w:rsid w:val="EFEF002E"/>
    <w:rsid w:val="EFFBD1E6"/>
    <w:rsid w:val="EFFE40AC"/>
    <w:rsid w:val="F1BB8157"/>
    <w:rsid w:val="F47A46FA"/>
    <w:rsid w:val="F4CFEA68"/>
    <w:rsid w:val="F757FDDF"/>
    <w:rsid w:val="F7EACED7"/>
    <w:rsid w:val="F7EF58D1"/>
    <w:rsid w:val="F7FF01F4"/>
    <w:rsid w:val="F7FFA7AD"/>
    <w:rsid w:val="F9DFD4AC"/>
    <w:rsid w:val="FAB9EF79"/>
    <w:rsid w:val="FABDD0C2"/>
    <w:rsid w:val="FB1EB6DB"/>
    <w:rsid w:val="FD7FB59E"/>
    <w:rsid w:val="FDFE6D6F"/>
    <w:rsid w:val="FE75F4F0"/>
    <w:rsid w:val="FE7715D8"/>
    <w:rsid w:val="FEB8DC2B"/>
    <w:rsid w:val="FEBF7A8E"/>
    <w:rsid w:val="FEEB2855"/>
    <w:rsid w:val="FEFFE267"/>
    <w:rsid w:val="FF55C2A6"/>
    <w:rsid w:val="FFEFC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3"/>
    <w:basedOn w:val="1"/>
    <w:next w:val="1"/>
    <w:qFormat/>
    <w:uiPriority w:val="0"/>
    <w:pPr>
      <w:spacing w:before="0" w:beforeAutospacing="1" w:after="0" w:afterAutospacing="1"/>
      <w:jc w:val="left"/>
    </w:pPr>
    <w:rPr>
      <w:rFonts w:hint="eastAsia" w:ascii="宋体" w:hAnsi="宋体" w:eastAsia="宋体" w:cs="宋体"/>
      <w:b/>
      <w:bCs/>
      <w:kern w:val="0"/>
      <w:sz w:val="27"/>
      <w:szCs w:val="27"/>
      <w:lang w:val="en-US" w:eastAsia="zh-CN"/>
    </w:rPr>
  </w:style>
  <w:style w:type="paragraph" w:styleId="3">
    <w:name w:val="heading 4"/>
    <w:basedOn w:val="1"/>
    <w:next w:val="1"/>
    <w:qFormat/>
    <w:uiPriority w:val="0"/>
    <w:pPr>
      <w:spacing w:before="260" w:after="120" w:line="288" w:lineRule="auto"/>
      <w:ind w:left="0"/>
      <w:jc w:val="left"/>
      <w:outlineLvl w:val="3"/>
    </w:pPr>
    <w:rPr>
      <w:rFonts w:ascii="Arial" w:hAnsi="Arial" w:eastAsia="等线" w:cs="Arial"/>
      <w:b/>
      <w:bCs/>
      <w:sz w:val="28"/>
      <w:szCs w:val="28"/>
    </w:rPr>
  </w:style>
  <w:style w:type="character" w:default="1" w:styleId="12">
    <w:name w:val="Default Paragraph Font"/>
    <w:qFormat/>
    <w:uiPriority w:val="0"/>
  </w:style>
  <w:style w:type="table" w:default="1" w:styleId="11">
    <w:name w:val="Normal Table"/>
    <w:qFormat/>
    <w:uiPriority w:val="0"/>
    <w:tblPr>
      <w:tblCellMar>
        <w:top w:w="0" w:type="dxa"/>
        <w:left w:w="108" w:type="dxa"/>
        <w:bottom w:w="0" w:type="dxa"/>
        <w:right w:w="108" w:type="dxa"/>
      </w:tblCellMar>
    </w:tblPr>
  </w:style>
  <w:style w:type="paragraph" w:styleId="4">
    <w:name w:val="Body Text"/>
    <w:basedOn w:val="1"/>
    <w:next w:val="5"/>
    <w:qFormat/>
    <w:uiPriority w:val="0"/>
    <w:rPr>
      <w:rFonts w:ascii="仿宋_GB2312" w:hAnsi="仿宋_GB2312" w:eastAsia="仿宋_GB2312" w:cs="仿宋_GB2312"/>
      <w:sz w:val="40"/>
      <w:szCs w:val="40"/>
      <w:lang w:val="en-US" w:eastAsia="en-US" w:bidi="ar-SA"/>
    </w:rPr>
  </w:style>
  <w:style w:type="paragraph" w:styleId="5">
    <w:name w:val="toc 2"/>
    <w:basedOn w:val="1"/>
    <w:next w:val="1"/>
    <w:unhideWhenUsed/>
    <w:qFormat/>
    <w:uiPriority w:val="39"/>
    <w:pPr>
      <w:ind w:firstLine="440" w:firstLine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9">
    <w:name w:val="Normal (Web)"/>
    <w:basedOn w:val="1"/>
    <w:qFormat/>
    <w:uiPriority w:val="0"/>
    <w:pPr>
      <w:spacing w:before="0" w:beforeAutospacing="1" w:after="0" w:afterAutospacing="1"/>
      <w:ind w:left="0" w:right="0"/>
      <w:jc w:val="left"/>
    </w:pPr>
    <w:rPr>
      <w:kern w:val="0"/>
      <w:sz w:val="24"/>
      <w:lang w:val="en-US" w:eastAsia="zh-CN"/>
    </w:rPr>
  </w:style>
  <w:style w:type="paragraph" w:styleId="10">
    <w:name w:val="Body Text First Indent"/>
    <w:basedOn w:val="4"/>
    <w:qFormat/>
    <w:uiPriority w:val="0"/>
    <w:pPr>
      <w:overflowPunct w:val="0"/>
      <w:autoSpaceDE w:val="0"/>
      <w:autoSpaceDN w:val="0"/>
      <w:adjustRightInd w:val="0"/>
      <w:spacing w:line="480" w:lineRule="atLeast"/>
      <w:ind w:firstLine="578"/>
    </w:pPr>
    <w:rPr>
      <w:sz w:val="28"/>
    </w:rPr>
  </w:style>
  <w:style w:type="character" w:styleId="13">
    <w:name w:val="Strong"/>
    <w:basedOn w:val="12"/>
    <w:qFormat/>
    <w:uiPriority w:val="0"/>
    <w:rPr>
      <w:b/>
    </w:rPr>
  </w:style>
  <w:style w:type="character" w:customStyle="1" w:styleId="14">
    <w:name w:val="font31"/>
    <w:basedOn w:val="12"/>
    <w:qFormat/>
    <w:uiPriority w:val="0"/>
    <w:rPr>
      <w:rFonts w:hint="eastAsia" w:ascii="宋体" w:hAnsi="宋体" w:eastAsia="宋体" w:cs="宋体"/>
      <w:color w:val="FF0000"/>
      <w:sz w:val="22"/>
      <w:szCs w:val="22"/>
      <w:u w:val="none"/>
    </w:rPr>
  </w:style>
  <w:style w:type="character" w:customStyle="1" w:styleId="15">
    <w:name w:val="font21"/>
    <w:basedOn w:val="12"/>
    <w:qFormat/>
    <w:uiPriority w:val="0"/>
    <w:rPr>
      <w:rFonts w:hint="eastAsia" w:ascii="宋体" w:hAnsi="宋体" w:eastAsia="宋体" w:cs="宋体"/>
      <w:color w:val="000000"/>
      <w:sz w:val="22"/>
      <w:szCs w:val="22"/>
      <w:u w:val="none"/>
    </w:rPr>
  </w:style>
  <w:style w:type="character" w:customStyle="1" w:styleId="16">
    <w:name w:val="font41"/>
    <w:basedOn w:val="12"/>
    <w:qFormat/>
    <w:uiPriority w:val="0"/>
    <w:rPr>
      <w:rFonts w:hint="eastAsia" w:ascii="宋体" w:hAnsi="宋体" w:eastAsia="宋体" w:cs="宋体"/>
      <w:color w:val="000000"/>
      <w:sz w:val="20"/>
      <w:szCs w:val="20"/>
      <w:u w:val="none"/>
    </w:rPr>
  </w:style>
  <w:style w:type="character" w:customStyle="1" w:styleId="17">
    <w:name w:val="font51"/>
    <w:basedOn w:val="12"/>
    <w:qFormat/>
    <w:uiPriority w:val="0"/>
    <w:rPr>
      <w:rFonts w:hint="eastAsia" w:ascii="宋体" w:hAnsi="宋体" w:eastAsia="宋体" w:cs="宋体"/>
      <w:color w:val="000000"/>
      <w:sz w:val="20"/>
      <w:szCs w:val="20"/>
      <w:u w:val="none"/>
    </w:rPr>
  </w:style>
  <w:style w:type="character" w:customStyle="1" w:styleId="18">
    <w:name w:val="font71"/>
    <w:basedOn w:val="12"/>
    <w:qFormat/>
    <w:uiPriority w:val="0"/>
    <w:rPr>
      <w:rFonts w:hint="eastAsia" w:ascii="宋体" w:hAnsi="宋体" w:eastAsia="宋体" w:cs="宋体"/>
      <w:color w:val="000000"/>
      <w:sz w:val="20"/>
      <w:szCs w:val="20"/>
      <w:u w:val="none"/>
    </w:rPr>
  </w:style>
  <w:style w:type="paragraph" w:customStyle="1" w:styleId="19">
    <w:name w:val="纯文本1"/>
    <w:basedOn w:val="20"/>
    <w:qFormat/>
    <w:uiPriority w:val="0"/>
    <w:pPr>
      <w:spacing w:line="360" w:lineRule="auto"/>
      <w:ind w:firstLine="200" w:firstLineChars="200"/>
    </w:pPr>
    <w:rPr>
      <w:rFonts w:ascii="Times New Roman" w:hAnsi="Times New Roman" w:eastAsia="仿宋" w:cs="Courier New"/>
      <w:sz w:val="28"/>
      <w:szCs w:val="21"/>
    </w:rPr>
  </w:style>
  <w:style w:type="paragraph" w:customStyle="1" w:styleId="20">
    <w:name w:val="正文_0"/>
    <w:qFormat/>
    <w:uiPriority w:val="0"/>
    <w:pPr>
      <w:widowControl w:val="0"/>
      <w:suppressAutoHyphens/>
      <w:autoSpaceDN w:val="0"/>
      <w:jc w:val="both"/>
      <w:textAlignment w:val="baseline"/>
    </w:pPr>
    <w:rPr>
      <w:rFonts w:ascii="Calibri" w:hAnsi="Calibri" w:eastAsia="宋体" w:cs="Times New Roman"/>
      <w:kern w:val="3"/>
      <w:sz w:val="21"/>
      <w:szCs w:val="22"/>
      <w:lang w:val="en-US" w:eastAsia="zh-CN" w:bidi="ar-SA"/>
    </w:rPr>
  </w:style>
  <w:style w:type="paragraph" w:customStyle="1" w:styleId="21">
    <w:name w:val="正文文本11"/>
    <w:basedOn w:val="1"/>
    <w:next w:val="1"/>
    <w:qFormat/>
    <w:uiPriority w:val="0"/>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14366</Words>
  <Characters>15076</Characters>
  <Paragraphs>874</Paragraphs>
  <TotalTime>1</TotalTime>
  <ScaleCrop>false</ScaleCrop>
  <LinksUpToDate>false</LinksUpToDate>
  <CharactersWithSpaces>15076</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2025-11-29T23:27:00Z</dcterms:created>
  <dc:creator>Administrator</dc:creator>
  <cp:lastModifiedBy>casic</cp:lastModifiedBy>
  <cp:lastPrinted>2025-12-14T17:01:00Z</cp:lastPrinted>
  <dcterms:modified xsi:type="dcterms:W3CDTF">2026-01-28T15:47:25Z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KSOTemplateDocerSaveRecord">
    <vt:lpwstr>eyJoZGlkIjoiMjU3OWU3NDIyZDI3N2JiMmYwOWYxNDMxODU0NmFkMWEiLCJ1c2VySWQiOiIyMzUzMDIyMjcifQ==</vt:lpwstr>
  </property>
  <property fmtid="{D5CDD505-2E9C-101B-9397-08002B2CF9AE}" pid="4" name="ICV">
    <vt:lpwstr>9511a0621c264a6c8212f1cedc9f9160_23</vt:lpwstr>
  </property>
</Properties>
</file>