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黑体" w:eastAsia="方正小标宋简体" w:cs="Times New Roman"/>
          <w:color w:val="000000"/>
          <w:spacing w:val="11"/>
          <w:sz w:val="44"/>
          <w:szCs w:val="44"/>
          <w:u w:val="none"/>
          <w:shd w:val="clear" w:color="auto" w:fill="FFFFFF"/>
        </w:rPr>
      </w:pPr>
      <w:bookmarkStart w:id="0" w:name="_GoBack"/>
      <w:r>
        <w:rPr>
          <w:rFonts w:hint="eastAsia" w:ascii="方正小标宋简体" w:hAnsi="黑体" w:eastAsia="方正小标宋简体" w:cs="Times New Roman"/>
          <w:color w:val="000000"/>
          <w:spacing w:val="11"/>
          <w:sz w:val="44"/>
          <w:szCs w:val="44"/>
          <w:u w:val="none"/>
          <w:shd w:val="clear" w:color="auto" w:fill="FFFFFF"/>
        </w:rPr>
        <w:t>关于推进呼伦贝尔市“十五五”工业经济</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黑体" w:eastAsia="方正小标宋简体" w:cs="Times New Roman"/>
          <w:color w:val="000000"/>
          <w:spacing w:val="11"/>
          <w:sz w:val="44"/>
          <w:szCs w:val="44"/>
          <w:u w:val="none"/>
          <w:shd w:val="clear" w:color="auto" w:fill="FFFFFF"/>
        </w:rPr>
      </w:pPr>
      <w:r>
        <w:rPr>
          <w:rFonts w:hint="eastAsia" w:ascii="方正小标宋简体" w:hAnsi="黑体" w:eastAsia="方正小标宋简体" w:cs="Times New Roman"/>
          <w:color w:val="000000"/>
          <w:spacing w:val="11"/>
          <w:sz w:val="44"/>
          <w:szCs w:val="44"/>
          <w:u w:val="none"/>
          <w:shd w:val="clear" w:color="auto" w:fill="FFFFFF"/>
        </w:rPr>
        <w:t>高质量发展实施方案</w:t>
      </w:r>
    </w:p>
    <w:p>
      <w:pPr>
        <w:pStyle w:val="2"/>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color w:val="000000"/>
          <w:spacing w:val="11"/>
          <w:sz w:val="32"/>
          <w:szCs w:val="32"/>
          <w:u w:val="none"/>
          <w:shd w:val="clear" w:color="auto" w:fill="FFFFFF"/>
          <w:lang w:eastAsia="zh-CN"/>
        </w:rPr>
        <w:t>（征求意见稿）</w:t>
      </w:r>
    </w:p>
    <w:bookmarkEnd w:id="0"/>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ascii="楷体_GB2312" w:hAnsi="Calibri" w:eastAsia="楷体_GB2312" w:cs="Times New Roman"/>
          <w:spacing w:val="6"/>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为深入贯彻党的二十大和二十届历次全会精神，全面落实《国务院关于推动内蒙古高质量发展奋力书写中国式现代化新篇章的意见》，</w:t>
      </w:r>
      <w:r>
        <w:rPr>
          <w:rFonts w:hint="eastAsia" w:ascii="仿宋_GB2312" w:hAnsi="仿宋_GB2312" w:eastAsia="仿宋_GB2312" w:cs="仿宋_GB2312"/>
          <w:sz w:val="32"/>
          <w:szCs w:val="32"/>
          <w:highlight w:val="none"/>
          <w:lang w:val="en-US" w:eastAsia="zh-CN"/>
        </w:rPr>
        <w:t>按照</w:t>
      </w:r>
      <w:r>
        <w:rPr>
          <w:rFonts w:hint="eastAsia" w:ascii="仿宋_GB2312" w:hAnsi="仿宋_GB2312" w:eastAsia="仿宋_GB2312" w:cs="仿宋_GB2312"/>
          <w:sz w:val="32"/>
          <w:szCs w:val="32"/>
          <w:highlight w:val="none"/>
        </w:rPr>
        <w:t>自治区党委十一届十次</w:t>
      </w:r>
      <w:r>
        <w:rPr>
          <w:rFonts w:hint="eastAsia" w:ascii="仿宋_GB2312" w:hAnsi="仿宋_GB2312" w:eastAsia="仿宋_GB2312" w:cs="仿宋_GB2312"/>
          <w:sz w:val="32"/>
          <w:szCs w:val="32"/>
          <w:highlight w:val="none"/>
          <w:lang w:eastAsia="zh-CN"/>
        </w:rPr>
        <w:t>、十一次</w:t>
      </w:r>
      <w:r>
        <w:rPr>
          <w:rFonts w:hint="eastAsia" w:ascii="仿宋_GB2312" w:hAnsi="仿宋_GB2312" w:eastAsia="仿宋_GB2312" w:cs="仿宋_GB2312"/>
          <w:sz w:val="32"/>
          <w:szCs w:val="32"/>
          <w:highlight w:val="none"/>
        </w:rPr>
        <w:t>全会</w:t>
      </w:r>
      <w:r>
        <w:rPr>
          <w:rFonts w:hint="eastAsia" w:ascii="仿宋_GB2312" w:hAnsi="仿宋_GB2312" w:eastAsia="仿宋_GB2312" w:cs="仿宋_GB2312"/>
          <w:sz w:val="32"/>
          <w:szCs w:val="32"/>
          <w:highlight w:val="none"/>
          <w:lang w:eastAsia="zh-CN"/>
        </w:rPr>
        <w:t>暨全区经济工作会议精神</w:t>
      </w:r>
      <w:r>
        <w:rPr>
          <w:rFonts w:hint="eastAsia" w:ascii="仿宋_GB2312" w:hAnsi="仿宋_GB2312" w:eastAsia="仿宋_GB2312" w:cs="仿宋_GB2312"/>
          <w:sz w:val="32"/>
          <w:szCs w:val="32"/>
          <w:highlight w:val="none"/>
          <w:lang w:val="en-US" w:eastAsia="zh-CN"/>
        </w:rPr>
        <w:t>和市委五届十次全会工作部署要求，</w:t>
      </w:r>
      <w:r>
        <w:rPr>
          <w:rFonts w:hint="eastAsia" w:ascii="仿宋_GB2312" w:hAnsi="仿宋_GB2312" w:eastAsia="仿宋_GB2312" w:cs="仿宋_GB2312"/>
          <w:sz w:val="32"/>
          <w:szCs w:val="32"/>
          <w:highlight w:val="none"/>
        </w:rPr>
        <w:t>抢抓</w:t>
      </w:r>
      <w:r>
        <w:rPr>
          <w:rFonts w:hint="eastAsia" w:ascii="仿宋_GB2312" w:hAnsi="仿宋_GB2312" w:eastAsia="仿宋_GB2312" w:cs="仿宋_GB2312"/>
          <w:sz w:val="32"/>
          <w:szCs w:val="32"/>
          <w:highlight w:val="none"/>
          <w:lang w:val="en-US" w:eastAsia="zh-CN"/>
        </w:rPr>
        <w:t>自治区党委</w:t>
      </w:r>
      <w:r>
        <w:rPr>
          <w:rFonts w:hint="eastAsia" w:ascii="仿宋_GB2312" w:hAnsi="仿宋_GB2312" w:eastAsia="仿宋_GB2312" w:cs="仿宋_GB2312"/>
          <w:sz w:val="32"/>
          <w:szCs w:val="32"/>
          <w:highlight w:val="none"/>
        </w:rPr>
        <w:t>关于《振兴蒙东措施》</w:t>
      </w:r>
      <w:r>
        <w:rPr>
          <w:rFonts w:hint="eastAsia" w:ascii="仿宋_GB2312" w:hAnsi="仿宋_GB2312" w:eastAsia="仿宋_GB2312" w:cs="仿宋_GB2312"/>
          <w:sz w:val="32"/>
          <w:szCs w:val="32"/>
          <w:highlight w:val="none"/>
          <w:lang w:val="en-US" w:eastAsia="zh-CN"/>
        </w:rPr>
        <w:t>政策</w:t>
      </w:r>
      <w:r>
        <w:rPr>
          <w:rFonts w:hint="eastAsia" w:ascii="仿宋_GB2312" w:hAnsi="仿宋_GB2312" w:eastAsia="仿宋_GB2312" w:cs="仿宋_GB2312"/>
          <w:sz w:val="32"/>
          <w:szCs w:val="32"/>
          <w:highlight w:val="none"/>
        </w:rPr>
        <w:t>机遇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统筹推进高质量发展、高水平保护和高水平安全</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发展新质生产力，发挥好工业促进经济发展“压舱石”作用，结合我市实际，</w:t>
      </w:r>
      <w:r>
        <w:rPr>
          <w:rFonts w:hint="eastAsia" w:ascii="仿宋_GB2312" w:hAnsi="仿宋_GB2312" w:eastAsia="仿宋_GB2312" w:cs="仿宋_GB2312"/>
          <w:sz w:val="32"/>
          <w:szCs w:val="32"/>
          <w:highlight w:val="none"/>
          <w:lang w:eastAsia="zh-CN"/>
        </w:rPr>
        <w:t>经市委、市政府同意，制定本实施</w:t>
      </w:r>
      <w:r>
        <w:rPr>
          <w:rFonts w:hint="eastAsia" w:ascii="仿宋_GB2312" w:hAnsi="仿宋_GB2312" w:eastAsia="仿宋_GB2312" w:cs="仿宋_GB2312"/>
          <w:sz w:val="32"/>
          <w:szCs w:val="32"/>
          <w:highlight w:val="none"/>
          <w:lang w:val="en-US" w:eastAsia="zh-CN"/>
        </w:rPr>
        <w:t>方案</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楷体_GB2312" w:hAnsi="楷体_GB2312" w:eastAsia="楷体_GB2312" w:cs="楷体_GB2312"/>
          <w:sz w:val="32"/>
          <w:szCs w:val="32"/>
        </w:rPr>
      </w:pPr>
      <w:r>
        <w:rPr>
          <w:rFonts w:hint="eastAsia" w:ascii="仿宋_GB2312" w:hAnsi="仿宋_GB2312" w:eastAsia="仿宋_GB2312" w:cs="仿宋_GB2312"/>
          <w:sz w:val="32"/>
          <w:szCs w:val="32"/>
          <w:highlight w:val="none"/>
        </w:rPr>
        <w:t>以习近平新时代中国特色社会主义思想为指导，</w:t>
      </w:r>
      <w:r>
        <w:rPr>
          <w:rFonts w:hint="eastAsia" w:ascii="仿宋_GB2312" w:hAnsi="仿宋_GB2312" w:eastAsia="仿宋_GB2312" w:cs="仿宋_GB2312"/>
          <w:sz w:val="32"/>
          <w:szCs w:val="32"/>
          <w:highlight w:val="none"/>
          <w:lang w:val="en-US" w:eastAsia="zh-CN"/>
        </w:rPr>
        <w:t>紧扣党的二十届四中全会关</w:t>
      </w:r>
      <w:r>
        <w:rPr>
          <w:rFonts w:hint="eastAsia" w:ascii="仿宋_GB2312" w:hAnsi="仿宋_GB2312" w:eastAsia="仿宋_GB2312" w:cs="仿宋_GB2312"/>
          <w:sz w:val="32"/>
          <w:szCs w:val="32"/>
          <w:lang w:val="en-US" w:eastAsia="zh-CN"/>
        </w:rPr>
        <w:t>于“新型工业化”“科技创新驱动产业创新”以及自治区党委“1571”工作部署要求，</w:t>
      </w:r>
      <w:r>
        <w:rPr>
          <w:rFonts w:hint="eastAsia" w:ascii="仿宋_GB2312" w:hAnsi="仿宋_GB2312" w:eastAsia="仿宋_GB2312" w:cs="仿宋_GB2312"/>
          <w:sz w:val="32"/>
          <w:szCs w:val="32"/>
        </w:rPr>
        <w:t>立足呼伦贝尔资源禀赋与产业基础，</w:t>
      </w:r>
      <w:r>
        <w:rPr>
          <w:rFonts w:hint="eastAsia" w:ascii="仿宋_GB2312" w:hAnsi="仿宋_GB2312" w:eastAsia="仿宋_GB2312" w:cs="仿宋_GB2312"/>
          <w:sz w:val="32"/>
          <w:szCs w:val="32"/>
          <w:lang w:val="en-US" w:eastAsia="zh-CN"/>
        </w:rPr>
        <w:t>紧密围绕市委“1</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5</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1”工作体系，以生态优先、绿色发展为根本遵循，纵深推动传统产业向智能化转型、绿色化发展、融合化跃升，加速壮大新兴产业，培育未来产业，着力构建特色鲜明、结构优化、动能充沛的现代化工业经济发展体系，为全市经济高质量发展筑牢坚实可靠的工业“压舱石”。</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“十五五”时期，我市工业经济高质量发展要坚持以下原则：</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生态优先、绿色发展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严守生态保护红线，</w:t>
      </w:r>
      <w:r>
        <w:rPr>
          <w:rFonts w:hint="eastAsia" w:ascii="仿宋_GB2312" w:hAnsi="仿宋_GB2312" w:eastAsia="仿宋_GB2312" w:cs="仿宋_GB2312"/>
          <w:sz w:val="32"/>
          <w:szCs w:val="32"/>
          <w:lang w:val="en-US" w:eastAsia="zh-CN"/>
        </w:rPr>
        <w:t>严格</w:t>
      </w:r>
      <w:r>
        <w:rPr>
          <w:rFonts w:hint="eastAsia" w:ascii="仿宋_GB2312" w:hAnsi="仿宋_GB2312" w:eastAsia="仿宋_GB2312" w:cs="仿宋_GB2312"/>
          <w:sz w:val="32"/>
          <w:szCs w:val="32"/>
        </w:rPr>
        <w:t>落实生态环境分区管控要求，科学划定开发区域与生态空间，实现“点上开发、面上保护”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推动工业发展与生态保护协同共进</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创新驱动、科技赋能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以科技创新为核心引擎引领产业升级，深化产学研用深度融合，推动“基础研究</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rPr>
        <w:t>技术攻关</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rPr>
        <w:t>成果转化”创新全链条落地见效，加速产业基础高级化、产业链现代化进程，着力推动产业发展从“资源依赖型”向“创新驱动型”根本性转变。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改革赋能、开放合作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深化重点领域改革，</w:t>
      </w:r>
      <w:r>
        <w:rPr>
          <w:rFonts w:hint="eastAsia" w:ascii="仿宋_GB2312" w:hAnsi="仿宋_GB2312" w:eastAsia="仿宋_GB2312" w:cs="仿宋_GB2312"/>
          <w:sz w:val="32"/>
          <w:szCs w:val="32"/>
          <w:lang w:val="en-US" w:eastAsia="zh-CN"/>
        </w:rPr>
        <w:t>全面落实</w:t>
      </w:r>
      <w:r>
        <w:rPr>
          <w:rFonts w:hint="eastAsia" w:ascii="仿宋_GB2312" w:hAnsi="仿宋_GB2312" w:eastAsia="仿宋_GB2312" w:cs="仿宋_GB2312"/>
          <w:sz w:val="32"/>
          <w:szCs w:val="32"/>
        </w:rPr>
        <w:t>蒙东振兴战略部署，加强与先进地区的产业合作与技术交流，积极融入国内产业链供应链循环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依托</w:t>
      </w:r>
      <w:r>
        <w:rPr>
          <w:rFonts w:hint="eastAsia" w:ascii="仿宋_GB2312" w:hAnsi="仿宋_GB2312" w:eastAsia="仿宋_GB2312" w:cs="仿宋_GB2312"/>
          <w:sz w:val="32"/>
          <w:szCs w:val="32"/>
          <w:lang w:val="en-US" w:eastAsia="zh-CN"/>
        </w:rPr>
        <w:t>毗邻俄蒙</w:t>
      </w:r>
      <w:r>
        <w:rPr>
          <w:rFonts w:hint="eastAsia" w:ascii="仿宋_GB2312" w:hAnsi="仿宋_GB2312" w:eastAsia="仿宋_GB2312" w:cs="仿宋_GB2312"/>
          <w:sz w:val="32"/>
          <w:szCs w:val="32"/>
        </w:rPr>
        <w:t>区位优势，拓展</w:t>
      </w:r>
      <w:r>
        <w:rPr>
          <w:rFonts w:hint="eastAsia" w:ascii="仿宋_GB2312" w:hAnsi="仿宋_GB2312" w:eastAsia="仿宋_GB2312" w:cs="仿宋_GB2312"/>
          <w:sz w:val="32"/>
          <w:szCs w:val="32"/>
          <w:lang w:val="en-US" w:eastAsia="zh-CN"/>
        </w:rPr>
        <w:t>俄蒙进口优质油气、矿产资源等落地加工空间</w:t>
      </w:r>
      <w:r>
        <w:rPr>
          <w:rFonts w:hint="eastAsia" w:ascii="仿宋_GB2312" w:hAnsi="仿宋_GB2312" w:eastAsia="仿宋_GB2312" w:cs="仿宋_GB2312"/>
          <w:sz w:val="32"/>
          <w:szCs w:val="32"/>
        </w:rPr>
        <w:t>，提升工业开放发展水平。</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协同推进，系统谋划</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立足各旗市区资源禀赋与产业基础，构建“一廊引领、四区联动”差异化空间</w:t>
      </w:r>
      <w:r>
        <w:rPr>
          <w:rFonts w:hint="eastAsia" w:ascii="仿宋_GB2312" w:hAnsi="仿宋_GB2312" w:eastAsia="仿宋_GB2312" w:cs="仿宋_GB2312"/>
          <w:sz w:val="32"/>
          <w:szCs w:val="32"/>
          <w:lang w:val="en-US" w:eastAsia="zh-CN"/>
        </w:rPr>
        <w:t>发展</w:t>
      </w:r>
      <w:r>
        <w:rPr>
          <w:rFonts w:hint="eastAsia" w:ascii="仿宋_GB2312" w:hAnsi="仿宋_GB2312" w:eastAsia="仿宋_GB2312" w:cs="仿宋_GB2312"/>
          <w:sz w:val="32"/>
          <w:szCs w:val="32"/>
        </w:rPr>
        <w:t>格局，推动区域特色发展、协同提升。牢固树立“全市一盘棋”理念，打破区域部门壁垒，健全“规划—项目—要素—保障”闭环机制，</w:t>
      </w:r>
      <w:r>
        <w:rPr>
          <w:rFonts w:hint="eastAsia" w:ascii="仿宋_GB2312" w:hAnsi="仿宋_GB2312" w:eastAsia="仿宋_GB2312" w:cs="仿宋_GB2312"/>
          <w:sz w:val="32"/>
          <w:szCs w:val="32"/>
          <w:lang w:val="en-US" w:eastAsia="zh-CN"/>
        </w:rPr>
        <w:t>深化</w:t>
      </w:r>
      <w:r>
        <w:rPr>
          <w:rFonts w:hint="eastAsia" w:ascii="仿宋_GB2312" w:hAnsi="仿宋_GB2312" w:eastAsia="仿宋_GB2312" w:cs="仿宋_GB2312"/>
          <w:sz w:val="32"/>
          <w:szCs w:val="32"/>
        </w:rPr>
        <w:t>“飞地经济”模式，强化跨区域资源整合与利益共享，形成上下联动、左右协同、齐抓共管工业经济发展格局。</w:t>
      </w:r>
    </w:p>
    <w:p>
      <w:pPr>
        <w:keepNext w:val="0"/>
        <w:keepLines w:val="0"/>
        <w:pageBreakBefore w:val="0"/>
        <w:widowControl w:val="0"/>
        <w:kinsoku/>
        <w:wordWrap/>
        <w:overflowPunct/>
        <w:topLinePunct w:val="0"/>
        <w:autoSpaceDE/>
        <w:autoSpaceDN/>
        <w:bidi w:val="0"/>
        <w:adjustRightInd/>
        <w:snapToGrid/>
        <w:spacing w:line="616"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“十五五”时期，</w:t>
      </w:r>
      <w:r>
        <w:rPr>
          <w:rFonts w:hint="eastAsia" w:ascii="仿宋_GB2312" w:hAnsi="仿宋_GB2312" w:eastAsia="仿宋_GB2312" w:cs="仿宋_GB2312"/>
          <w:b w:val="0"/>
          <w:bCs w:val="0"/>
          <w:sz w:val="32"/>
          <w:szCs w:val="32"/>
          <w:lang w:eastAsia="zh-CN"/>
        </w:rPr>
        <w:t>我市工业经济高质量</w:t>
      </w:r>
      <w:r>
        <w:rPr>
          <w:rFonts w:hint="eastAsia" w:ascii="仿宋_GB2312" w:hAnsi="仿宋_GB2312" w:eastAsia="仿宋_GB2312" w:cs="仿宋_GB2312"/>
          <w:sz w:val="32"/>
          <w:szCs w:val="32"/>
          <w:lang w:eastAsia="zh-CN"/>
        </w:rPr>
        <w:t>发展的主要目标是：</w:t>
      </w:r>
    </w:p>
    <w:p>
      <w:pPr>
        <w:keepNext w:val="0"/>
        <w:keepLines w:val="0"/>
        <w:pageBreakBefore w:val="0"/>
        <w:widowControl w:val="0"/>
        <w:kinsoku/>
        <w:wordWrap/>
        <w:overflowPunct/>
        <w:topLinePunct w:val="0"/>
        <w:autoSpaceDE/>
        <w:autoSpaceDN/>
        <w:bidi w:val="0"/>
        <w:adjustRightInd/>
        <w:snapToGrid/>
        <w:spacing w:line="61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到2030年，实现工业产值倍增计划，规模质效显著提升，产业结构持续优化，集聚集约水平稳步提高，绿色发展走在全区前列，形成“传统产业升级</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highlight w:val="none"/>
        </w:rPr>
        <w:t>新兴产业突破”双轮驱动格局，工业综合实力位居自治区中游，以新质生产力为支撑的现代化工业体系基本形成。</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1.产业</w:t>
      </w:r>
      <w:r>
        <w:rPr>
          <w:rFonts w:hint="eastAsia" w:ascii="仿宋_GB2312" w:hAnsi="仿宋_GB2312" w:eastAsia="仿宋_GB2312" w:cs="仿宋_GB2312"/>
          <w:sz w:val="32"/>
          <w:szCs w:val="32"/>
          <w:highlight w:val="none"/>
        </w:rPr>
        <w:t>规模显著提升</w:t>
      </w:r>
      <w:r>
        <w:rPr>
          <w:rFonts w:hint="eastAsia" w:ascii="仿宋_GB2312" w:hAnsi="仿宋_GB2312" w:eastAsia="仿宋_GB2312" w:cs="仿宋_GB2312"/>
          <w:b w:val="0"/>
          <w:bCs w:val="0"/>
          <w:sz w:val="32"/>
          <w:szCs w:val="32"/>
          <w:lang w:val="en-US" w:eastAsia="zh-CN"/>
        </w:rPr>
        <w:t>。规模以上工业总产值达到1500亿元，较“十四五”期末将近翻一番；优势特色制造业规模以上工业产值达到500亿元，较“十四五”期末翻三番；电力装机规模达到3500万千瓦，较“十四五”期末增长1.5倍；规模以上工业企业数量达到200户，较“十四五”期末净增50户。</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default" w:ascii="仿宋_GB2312" w:hAnsi="仿宋_GB2312" w:eastAsia="仿宋_GB2312" w:cs="仿宋_GB2312"/>
          <w:b w:val="0"/>
          <w:bCs w:val="0"/>
          <w:sz w:val="32"/>
          <w:szCs w:val="32"/>
          <w:lang w:val="en-US" w:eastAsia="zh-CN"/>
        </w:rPr>
        <w:t>产业结构持续优化</w:t>
      </w:r>
      <w:r>
        <w:rPr>
          <w:rFonts w:hint="eastAsia" w:ascii="仿宋_GB2312" w:hAnsi="仿宋_GB2312" w:eastAsia="仿宋_GB2312" w:cs="仿宋_GB2312"/>
          <w:b w:val="0"/>
          <w:bCs w:val="0"/>
          <w:sz w:val="32"/>
          <w:szCs w:val="32"/>
          <w:lang w:val="en-US" w:eastAsia="zh-CN"/>
        </w:rPr>
        <w:t>。大力推动煤炭、电力、冶金、建材、化工、食品制造等传统产业升级改造，加快发展新能源、高端装备、生物制造、低空航空器制造、新型储能等新兴产业，形成“传统产业升级</w:t>
      </w:r>
      <w:r>
        <w:rPr>
          <w:rFonts w:hint="eastAsia" w:ascii="宋体" w:hAnsi="宋体" w:eastAsia="宋体" w:cs="宋体"/>
          <w:sz w:val="32"/>
          <w:szCs w:val="32"/>
          <w:lang w:val="en-US" w:eastAsia="zh-CN"/>
        </w:rPr>
        <w:t>＋</w:t>
      </w:r>
      <w:r>
        <w:rPr>
          <w:rFonts w:hint="eastAsia" w:ascii="仿宋_GB2312" w:hAnsi="仿宋_GB2312" w:eastAsia="仿宋_GB2312" w:cs="仿宋_GB2312"/>
          <w:b w:val="0"/>
          <w:bCs w:val="0"/>
          <w:sz w:val="32"/>
          <w:szCs w:val="32"/>
          <w:lang w:val="en-US" w:eastAsia="zh-CN"/>
        </w:rPr>
        <w:t>新兴产业突破”双轮驱动格局。同时，前瞻布局氢能、人工智能（AI）应用等未来产业。</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b w:val="0"/>
          <w:bCs w:val="0"/>
          <w:w w:val="96"/>
          <w:sz w:val="32"/>
          <w:szCs w:val="32"/>
          <w:lang w:val="en-US" w:eastAsia="zh-CN"/>
        </w:rPr>
      </w:pPr>
      <w:r>
        <w:rPr>
          <w:rFonts w:hint="eastAsia" w:ascii="仿宋_GB2312" w:hAnsi="仿宋_GB2312" w:eastAsia="仿宋_GB2312" w:cs="仿宋_GB2312"/>
          <w:b w:val="0"/>
          <w:bCs w:val="0"/>
          <w:sz w:val="32"/>
          <w:szCs w:val="32"/>
          <w:lang w:val="en-US" w:eastAsia="zh-CN"/>
        </w:rPr>
        <w:t>3.</w:t>
      </w:r>
      <w:r>
        <w:rPr>
          <w:rFonts w:hint="default" w:ascii="仿宋_GB2312" w:hAnsi="仿宋_GB2312" w:eastAsia="仿宋_GB2312" w:cs="仿宋_GB2312"/>
          <w:b w:val="0"/>
          <w:bCs w:val="0"/>
          <w:sz w:val="32"/>
          <w:szCs w:val="32"/>
          <w:lang w:val="en-US" w:eastAsia="zh-CN"/>
        </w:rPr>
        <w:t>集聚</w:t>
      </w:r>
      <w:r>
        <w:rPr>
          <w:rFonts w:hint="eastAsia" w:ascii="仿宋_GB2312" w:hAnsi="仿宋_GB2312" w:eastAsia="仿宋_GB2312" w:cs="仿宋_GB2312"/>
          <w:b w:val="0"/>
          <w:bCs w:val="0"/>
          <w:sz w:val="32"/>
          <w:szCs w:val="32"/>
          <w:lang w:val="en-US" w:eastAsia="zh-CN"/>
        </w:rPr>
        <w:t>水平稳步提高。</w:t>
      </w:r>
      <w:r>
        <w:rPr>
          <w:rFonts w:hint="default" w:ascii="仿宋_GB2312" w:hAnsi="仿宋_GB2312" w:eastAsia="仿宋_GB2312" w:cs="仿宋_GB2312"/>
          <w:b w:val="0"/>
          <w:bCs w:val="0"/>
          <w:sz w:val="32"/>
          <w:szCs w:val="32"/>
          <w:lang w:val="en-US" w:eastAsia="zh-CN"/>
        </w:rPr>
        <w:t>产业链条不断延伸，产业集群基本形成，</w:t>
      </w:r>
      <w:r>
        <w:rPr>
          <w:rFonts w:hint="eastAsia" w:ascii="仿宋_GB2312" w:hAnsi="仿宋_GB2312" w:eastAsia="仿宋_GB2312" w:cs="仿宋_GB2312"/>
          <w:b w:val="0"/>
          <w:bCs w:val="0"/>
          <w:sz w:val="32"/>
          <w:szCs w:val="32"/>
          <w:lang w:val="en-US" w:eastAsia="zh-CN"/>
        </w:rPr>
        <w:t>补齐重点工业园区配套设施短板</w:t>
      </w:r>
      <w:r>
        <w:rPr>
          <w:rFonts w:hint="default" w:ascii="仿宋_GB2312" w:hAnsi="仿宋_GB2312" w:eastAsia="仿宋_GB2312" w:cs="仿宋_GB2312"/>
          <w:b w:val="0"/>
          <w:bCs w:val="0"/>
          <w:sz w:val="32"/>
          <w:szCs w:val="32"/>
          <w:lang w:val="en-US" w:eastAsia="zh-CN"/>
        </w:rPr>
        <w:t>，重大项目落地见效，园区承载能力和集约水平稳步提高</w:t>
      </w:r>
      <w:r>
        <w:rPr>
          <w:rFonts w:hint="eastAsia" w:ascii="仿宋_GB2312" w:hAnsi="仿宋_GB2312" w:eastAsia="仿宋_GB2312" w:cs="仿宋_GB2312"/>
          <w:b w:val="0"/>
          <w:bCs w:val="0"/>
          <w:sz w:val="32"/>
          <w:szCs w:val="32"/>
          <w:lang w:val="en-US" w:eastAsia="zh-CN"/>
        </w:rPr>
        <w:t>，实现利润、税收明显增长，品牌效益充分发挥</w:t>
      </w:r>
      <w:r>
        <w:rPr>
          <w:rFonts w:hint="default" w:ascii="仿宋_GB2312" w:hAnsi="仿宋_GB2312" w:eastAsia="仿宋_GB2312" w:cs="仿宋_GB2312"/>
          <w:b w:val="0"/>
          <w:bCs w:val="0"/>
          <w:sz w:val="32"/>
          <w:szCs w:val="32"/>
          <w:lang w:val="en-US" w:eastAsia="zh-CN"/>
        </w:rPr>
        <w:t>。</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4.</w:t>
      </w:r>
      <w:r>
        <w:rPr>
          <w:rFonts w:hint="default" w:ascii="仿宋_GB2312" w:hAnsi="仿宋_GB2312" w:eastAsia="仿宋_GB2312" w:cs="仿宋_GB2312"/>
          <w:b w:val="0"/>
          <w:bCs w:val="0"/>
          <w:sz w:val="32"/>
          <w:szCs w:val="32"/>
          <w:highlight w:val="none"/>
          <w:lang w:val="en-US" w:eastAsia="zh-CN"/>
        </w:rPr>
        <w:t>绿色低碳成效明显</w:t>
      </w:r>
      <w:r>
        <w:rPr>
          <w:rFonts w:hint="eastAsia" w:ascii="仿宋_GB2312" w:hAnsi="仿宋_GB2312" w:eastAsia="仿宋_GB2312" w:cs="仿宋_GB2312"/>
          <w:b w:val="0"/>
          <w:bCs w:val="0"/>
          <w:sz w:val="32"/>
          <w:szCs w:val="32"/>
          <w:highlight w:val="none"/>
          <w:lang w:val="en-US" w:eastAsia="zh-CN"/>
        </w:rPr>
        <w:t>。坚持“双碳”引领，推动全面绿色转型，重点抓好</w:t>
      </w:r>
      <w:r>
        <w:rPr>
          <w:rFonts w:hint="default" w:ascii="仿宋_GB2312" w:hAnsi="仿宋_GB2312" w:eastAsia="仿宋_GB2312" w:cs="仿宋_GB2312"/>
          <w:b w:val="0"/>
          <w:bCs w:val="0"/>
          <w:sz w:val="32"/>
          <w:szCs w:val="32"/>
          <w:highlight w:val="none"/>
          <w:lang w:val="en-US" w:eastAsia="zh-CN"/>
        </w:rPr>
        <w:t>降碳、节能、减污、扩绿、增长协同推进，能源结构与产业结构进一步清洁化、低碳化。</w:t>
      </w:r>
      <w:r>
        <w:rPr>
          <w:rFonts w:hint="eastAsia" w:ascii="仿宋_GB2312" w:hAnsi="仿宋_GB2312" w:eastAsia="仿宋_GB2312" w:cs="仿宋_GB2312"/>
          <w:b w:val="0"/>
          <w:bCs w:val="0"/>
          <w:sz w:val="32"/>
          <w:szCs w:val="32"/>
          <w:highlight w:val="none"/>
          <w:lang w:val="en-US" w:eastAsia="zh-CN"/>
        </w:rPr>
        <w:t>工业园区绿色化、智能化水平全面提升，积极开展零碳园区申建工作，“十五五”期间创建1—2个零碳园区。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“十五五”时期，我市工业经济高质量发展的</w:t>
      </w:r>
      <w:r>
        <w:rPr>
          <w:rFonts w:hint="eastAsia" w:ascii="仿宋_GB2312" w:hAnsi="仿宋_GB2312" w:eastAsia="仿宋_GB2312" w:cs="仿宋_GB2312"/>
          <w:b w:val="0"/>
          <w:bCs w:val="0"/>
          <w:sz w:val="32"/>
          <w:szCs w:val="32"/>
          <w:lang w:val="en-US" w:eastAsia="zh-CN"/>
        </w:rPr>
        <w:t>阶段性目标是：</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sz w:val="32"/>
          <w:szCs w:val="32"/>
          <w:lang w:val="en-US" w:eastAsia="zh-CN"/>
        </w:rPr>
        <w:t>1.</w:t>
      </w:r>
      <w:r>
        <w:rPr>
          <w:rFonts w:hint="default" w:ascii="仿宋_GB2312" w:hAnsi="仿宋_GB2312" w:eastAsia="仿宋_GB2312" w:cs="仿宋_GB2312"/>
          <w:b w:val="0"/>
          <w:bCs w:val="0"/>
          <w:sz w:val="32"/>
          <w:szCs w:val="32"/>
          <w:lang w:val="en-US" w:eastAsia="zh-CN"/>
        </w:rPr>
        <w:t>筑基期（2026—</w:t>
      </w:r>
      <w:r>
        <w:rPr>
          <w:rFonts w:hint="eastAsia" w:ascii="仿宋_GB2312" w:hAnsi="仿宋_GB2312" w:eastAsia="仿宋_GB2312" w:cs="仿宋_GB2312"/>
          <w:b w:val="0"/>
          <w:bCs w:val="0"/>
          <w:sz w:val="32"/>
          <w:szCs w:val="32"/>
          <w:lang w:val="en-US" w:eastAsia="zh-CN"/>
        </w:rPr>
        <w:t>2027</w:t>
      </w:r>
      <w:r>
        <w:rPr>
          <w:rFonts w:hint="default" w:ascii="仿宋_GB2312" w:hAnsi="仿宋_GB2312" w:eastAsia="仿宋_GB2312" w:cs="仿宋_GB2312"/>
          <w:b w:val="0"/>
          <w:bCs w:val="0"/>
          <w:sz w:val="32"/>
          <w:szCs w:val="32"/>
          <w:lang w:val="en-US" w:eastAsia="zh-CN"/>
        </w:rPr>
        <w:t>年）</w:t>
      </w:r>
      <w:r>
        <w:rPr>
          <w:rFonts w:hint="eastAsia" w:ascii="仿宋_GB2312" w:hAnsi="仿宋_GB2312" w:eastAsia="仿宋_GB2312" w:cs="仿宋_GB2312"/>
          <w:b w:val="0"/>
          <w:bCs w:val="0"/>
          <w:sz w:val="32"/>
          <w:szCs w:val="32"/>
          <w:lang w:val="en-US" w:eastAsia="zh-CN"/>
        </w:rPr>
        <w:t>。夯实产业基础，推动重大项目落</w:t>
      </w:r>
      <w:r>
        <w:rPr>
          <w:rFonts w:hint="eastAsia" w:ascii="仿宋_GB2312" w:hAnsi="仿宋_GB2312" w:eastAsia="仿宋_GB2312" w:cs="仿宋_GB2312"/>
          <w:b w:val="0"/>
          <w:bCs w:val="0"/>
          <w:color w:val="auto"/>
          <w:sz w:val="32"/>
          <w:szCs w:val="32"/>
          <w:lang w:val="en-US" w:eastAsia="zh-CN"/>
        </w:rPr>
        <w:t>地，完善基础设施配套，破解要素保障瓶颈，实现工业经济恢复性增长。到2027年末，规上工业总产值较“十四五”期末增长30%以上，电力装机规模力争达到1800万千瓦，规上工业企业数量净增20户。</w:t>
      </w:r>
    </w:p>
    <w:p>
      <w:pPr>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2.提升期（2028—2030年）。</w:t>
      </w:r>
      <w:r>
        <w:rPr>
          <w:rFonts w:hint="eastAsia" w:ascii="仿宋_GB2312" w:hAnsi="仿宋_GB2312" w:eastAsia="仿宋_GB2312" w:cs="仿宋_GB2312"/>
          <w:color w:val="auto"/>
          <w:sz w:val="32"/>
          <w:szCs w:val="32"/>
          <w:highlight w:val="none"/>
        </w:rPr>
        <w:t>全面推进产业升级，形成产业集群，强化科技创新驱动，提升产业核心竞争力，实现工业经济高质量发展。到2030年末，全面完成各项核心指标，规上工业总产值顺利突破1500亿元，优势特色制造业产值达500亿元，电力装机规模实现3500万千瓦，规上工业企业数量达到200户；工业综合实力稳固处于自治区中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eastAsia="zh-CN"/>
        </w:rPr>
        <w:t>二</w:t>
      </w:r>
      <w:r>
        <w:rPr>
          <w:rFonts w:hint="eastAsia" w:ascii="黑体" w:hAnsi="黑体" w:eastAsia="黑体" w:cs="黑体"/>
          <w:color w:val="auto"/>
          <w:sz w:val="32"/>
          <w:szCs w:val="32"/>
          <w:highlight w:val="none"/>
        </w:rPr>
        <w:t>、重点任务</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w:t>
      </w:r>
      <w:r>
        <w:rPr>
          <w:rFonts w:hint="eastAsia" w:ascii="楷体_GB2312" w:hAnsi="楷体_GB2312" w:eastAsia="楷体_GB2312" w:cs="楷体_GB2312"/>
          <w:b/>
          <w:bCs/>
          <w:color w:val="auto"/>
          <w:sz w:val="32"/>
          <w:szCs w:val="32"/>
          <w:highlight w:val="none"/>
          <w:lang w:val="en-US" w:eastAsia="zh-CN"/>
        </w:rPr>
        <w:t>一</w:t>
      </w:r>
      <w:r>
        <w:rPr>
          <w:rFonts w:hint="eastAsia" w:ascii="楷体_GB2312" w:hAnsi="楷体_GB2312" w:eastAsia="楷体_GB2312" w:cs="楷体_GB2312"/>
          <w:b/>
          <w:bCs/>
          <w:color w:val="auto"/>
          <w:sz w:val="32"/>
          <w:szCs w:val="32"/>
          <w:highlight w:val="none"/>
        </w:rPr>
        <w:t>）推进五业协同，实现传统产业升级与新兴产业突破</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1.</w:t>
      </w:r>
      <w:r>
        <w:rPr>
          <w:rFonts w:hint="eastAsia" w:ascii="仿宋_GB2312" w:hAnsi="仿宋_GB2312" w:eastAsia="仿宋_GB2312" w:cs="仿宋_GB2312"/>
          <w:b/>
          <w:bCs/>
          <w:color w:val="auto"/>
          <w:sz w:val="32"/>
          <w:szCs w:val="32"/>
          <w:highlight w:val="none"/>
        </w:rPr>
        <w:t>煤炭产业：稳量提质与绿色智能并进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（1）推动煤炭资源稳定接续发展。</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eastAsia="zh-CN"/>
        </w:rPr>
        <w:t>高标准建设国家煤炭供应保障基地，加快推动具备增产潜力的煤矿释放先进产能，盘活空白边角资源、夹缝资源。</w:t>
      </w:r>
      <w:r>
        <w:rPr>
          <w:rFonts w:hint="eastAsia" w:ascii="仿宋_GB2312" w:hAnsi="仿宋_GB2312" w:eastAsia="仿宋_GB2312" w:cs="仿宋_GB2312"/>
          <w:color w:val="auto"/>
          <w:sz w:val="32"/>
          <w:szCs w:val="32"/>
          <w:highlight w:val="none"/>
          <w:lang w:val="en-US" w:eastAsia="zh-CN"/>
        </w:rPr>
        <w:t>开展煤炭矿区总体规划编制（修编）工作，为下一步煤炭开发提供充足依据。重点推动华能伊敏煤电有限公司三号露天矿、国能宝日希勒能源有限公司二号露天矿、新巴尔虎左旗胡列也吐矿区嵯北煤矿、伊敏河东矿区第二煤矿、</w:t>
      </w:r>
      <w:r>
        <w:rPr>
          <w:rFonts w:hint="eastAsia" w:ascii="仿宋_GB2312" w:hAnsi="仿宋_GB2312" w:eastAsia="仿宋_GB2312" w:cs="仿宋_GB2312"/>
          <w:b w:val="0"/>
          <w:bCs w:val="0"/>
          <w:color w:val="auto"/>
          <w:sz w:val="32"/>
          <w:szCs w:val="32"/>
          <w:lang w:eastAsia="zh-CN"/>
        </w:rPr>
        <w:t>莫拐煤矿、石瓦鲁煤矿、</w:t>
      </w:r>
      <w:r>
        <w:rPr>
          <w:rFonts w:hint="eastAsia" w:ascii="仿宋_GB2312" w:hAnsi="仿宋_GB2312" w:eastAsia="仿宋_GB2312" w:cs="仿宋_GB2312"/>
          <w:b w:val="0"/>
          <w:bCs w:val="0"/>
          <w:color w:val="auto"/>
          <w:sz w:val="32"/>
          <w:szCs w:val="32"/>
          <w:lang w:val="en-US" w:eastAsia="zh-CN"/>
        </w:rPr>
        <w:t>五一牧场</w:t>
      </w:r>
      <w:r>
        <w:rPr>
          <w:rFonts w:hint="eastAsia" w:ascii="仿宋_GB2312" w:hAnsi="仿宋_GB2312" w:eastAsia="仿宋_GB2312" w:cs="仿宋_GB2312"/>
          <w:color w:val="auto"/>
          <w:sz w:val="32"/>
          <w:szCs w:val="32"/>
          <w:highlight w:val="none"/>
          <w:lang w:val="en-US" w:eastAsia="zh-CN"/>
        </w:rPr>
        <w:t>等煤矿纳入国家和自治区“十五五”规划，早日开发建设，提升我市煤炭资源接续和自给能力。（责任部门及旗市区：市能源局、自然资源局，相关旗市区）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加大煤矿智能化建设力度。全面落实自治区推进煤矿智能化建设行动实施方案，加快智能化采煤工作面、智能化掘进工作面建设，在储量大、现场管理好、技术人员配备强的露天煤矿，推动无人驾驶试验应用；到</w:t>
      </w:r>
      <w:r>
        <w:rPr>
          <w:rFonts w:hint="default" w:ascii="仿宋_GB2312" w:hAnsi="仿宋_GB2312" w:eastAsia="仿宋_GB2312" w:cs="仿宋_GB2312"/>
          <w:color w:val="auto"/>
          <w:sz w:val="32"/>
          <w:szCs w:val="32"/>
          <w:highlight w:val="none"/>
          <w:lang w:val="en-US" w:eastAsia="zh-CN"/>
        </w:rPr>
        <w:t>202</w:t>
      </w:r>
      <w:r>
        <w:rPr>
          <w:rFonts w:hint="eastAsia" w:ascii="仿宋_GB2312" w:hAnsi="仿宋_GB2312" w:eastAsia="仿宋_GB2312" w:cs="仿宋_GB2312"/>
          <w:color w:val="auto"/>
          <w:sz w:val="32"/>
          <w:szCs w:val="32"/>
          <w:highlight w:val="none"/>
          <w:lang w:val="en-US" w:eastAsia="zh-CN"/>
        </w:rPr>
        <w:t>6年底，全市生产煤矿全部完成智能化建设，服务年限大于10年的大型露天煤矿要完成智能化中级提档升级。（责任部门及旗市区：市能源局、应急管理局，相关旗市区）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）加强矿山生态修复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严格落实矿山地质环境治理恢复基金管理制度，督促煤矿企业履行生态修复主体责任，实现应治尽治；推广“矿山复绿</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rPr>
        <w:t>生态农业”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“矿山复绿</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rPr>
        <w:t>旅游开发”等复合模式，实现煤矿开采与生态保护同步推进。（</w:t>
      </w:r>
      <w:r>
        <w:rPr>
          <w:rFonts w:hint="eastAsia" w:ascii="仿宋_GB2312" w:hAnsi="仿宋_GB2312" w:eastAsia="仿宋_GB2312" w:cs="仿宋_GB2312"/>
          <w:color w:val="auto"/>
          <w:sz w:val="32"/>
          <w:szCs w:val="32"/>
          <w:highlight w:val="none"/>
          <w:lang w:val="en-US" w:eastAsia="zh-CN"/>
        </w:rPr>
        <w:t>责任部门：</w:t>
      </w:r>
      <w:r>
        <w:rPr>
          <w:rFonts w:hint="eastAsia" w:ascii="仿宋_GB2312" w:hAnsi="仿宋_GB2312" w:eastAsia="仿宋_GB2312" w:cs="仿宋_GB2312"/>
          <w:color w:val="auto"/>
          <w:sz w:val="32"/>
          <w:szCs w:val="32"/>
          <w:highlight w:val="none"/>
        </w:rPr>
        <w:t>市自然资源局、生态环境局）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）优化产能布局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在保障国家电煤供应的基础上，依法依规推动</w:t>
      </w:r>
      <w:r>
        <w:rPr>
          <w:rFonts w:hint="eastAsia" w:ascii="仿宋_GB2312" w:hAnsi="仿宋_GB2312" w:eastAsia="仿宋_GB2312" w:cs="仿宋_GB2312"/>
          <w:color w:val="auto"/>
          <w:sz w:val="32"/>
          <w:szCs w:val="32"/>
          <w:highlight w:val="none"/>
          <w:lang w:val="en-US" w:eastAsia="zh-CN"/>
        </w:rPr>
        <w:t>煤</w:t>
      </w:r>
      <w:r>
        <w:rPr>
          <w:rFonts w:hint="eastAsia" w:ascii="仿宋_GB2312" w:hAnsi="仿宋_GB2312" w:eastAsia="仿宋_GB2312" w:cs="仿宋_GB2312"/>
          <w:color w:val="auto"/>
          <w:sz w:val="32"/>
          <w:szCs w:val="32"/>
          <w:highlight w:val="none"/>
        </w:rPr>
        <w:t>矿资源有序开发利用，</w:t>
      </w:r>
      <w:r>
        <w:rPr>
          <w:rFonts w:hint="eastAsia" w:ascii="仿宋_GB2312" w:hAnsi="仿宋_GB2312" w:eastAsia="仿宋_GB2312" w:cs="仿宋_GB2312"/>
          <w:color w:val="auto"/>
          <w:sz w:val="32"/>
          <w:szCs w:val="32"/>
          <w:highlight w:val="none"/>
          <w:lang w:val="en-US" w:eastAsia="zh-CN"/>
        </w:rPr>
        <w:t>推动西乌日图、胡列也吐、五一牧场等煤炭矿区总规修编，按照国家和自治区批复总规，</w:t>
      </w:r>
      <w:r>
        <w:rPr>
          <w:rFonts w:hint="eastAsia" w:ascii="仿宋_GB2312" w:hAnsi="仿宋_GB2312" w:eastAsia="仿宋_GB2312" w:cs="仿宋_GB2312"/>
          <w:color w:val="auto"/>
          <w:sz w:val="32"/>
          <w:szCs w:val="32"/>
          <w:highlight w:val="none"/>
        </w:rPr>
        <w:t>科学划定煤矿开采区域，避免过度开采；科学调配资源，保障重点项目用煤及新能源外送调峰用煤需求</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推动优质产能向优势企业集中，淘汰落后产能，</w:t>
      </w:r>
      <w:r>
        <w:rPr>
          <w:rFonts w:hint="eastAsia" w:ascii="仿宋_GB2312" w:hAnsi="仿宋_GB2312" w:eastAsia="仿宋_GB2312" w:cs="仿宋_GB2312"/>
          <w:color w:val="auto"/>
          <w:sz w:val="32"/>
          <w:szCs w:val="32"/>
          <w:highlight w:val="none"/>
          <w:lang w:val="en-US" w:eastAsia="zh-CN"/>
        </w:rPr>
        <w:t>加快13座长期停产停建煤矿分类处置工作，</w:t>
      </w:r>
      <w:r>
        <w:rPr>
          <w:rFonts w:hint="eastAsia" w:ascii="仿宋_GB2312" w:hAnsi="仿宋_GB2312" w:eastAsia="仿宋_GB2312" w:cs="仿宋_GB2312"/>
          <w:color w:val="auto"/>
          <w:sz w:val="32"/>
          <w:szCs w:val="32"/>
          <w:highlight w:val="none"/>
        </w:rPr>
        <w:t>提升煤炭产业整体竞争力和抗风险能力。</w:t>
      </w:r>
      <w:r>
        <w:rPr>
          <w:rFonts w:hint="default" w:ascii="仿宋_GB2312" w:hAnsi="仿宋_GB2312" w:eastAsia="仿宋_GB2312" w:cs="仿宋_GB2312"/>
          <w:color w:val="auto"/>
          <w:sz w:val="32"/>
          <w:szCs w:val="32"/>
          <w:highlight w:val="none"/>
        </w:rPr>
        <w:t>依托口岸优势</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推动煤炭加工洗选产业落地</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责任部门：</w:t>
      </w:r>
      <w:r>
        <w:rPr>
          <w:rFonts w:hint="eastAsia" w:ascii="仿宋_GB2312" w:hAnsi="仿宋_GB2312" w:eastAsia="仿宋_GB2312" w:cs="仿宋_GB2312"/>
          <w:color w:val="auto"/>
          <w:sz w:val="32"/>
          <w:szCs w:val="32"/>
          <w:highlight w:val="none"/>
        </w:rPr>
        <w:t>市能源局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工信局、自然资源局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商务局</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rPr>
        <w:t>电力产业：外送</w:t>
      </w:r>
      <w:r>
        <w:rPr>
          <w:rFonts w:hint="eastAsia" w:ascii="仿宋_GB2312" w:hAnsi="仿宋_GB2312" w:eastAsia="仿宋_GB2312" w:cs="仿宋_GB2312"/>
          <w:b/>
          <w:bCs/>
          <w:color w:val="auto"/>
          <w:sz w:val="32"/>
          <w:szCs w:val="32"/>
          <w:highlight w:val="none"/>
          <w:lang w:val="en-US" w:eastAsia="zh-CN"/>
        </w:rPr>
        <w:t>消纳</w:t>
      </w:r>
      <w:r>
        <w:rPr>
          <w:rFonts w:hint="eastAsia" w:ascii="仿宋_GB2312" w:hAnsi="仿宋_GB2312" w:eastAsia="仿宋_GB2312" w:cs="仿宋_GB2312"/>
          <w:b/>
          <w:bCs/>
          <w:color w:val="auto"/>
          <w:sz w:val="32"/>
          <w:szCs w:val="32"/>
          <w:highlight w:val="none"/>
        </w:rPr>
        <w:t>与绿色转型协同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1）推进增量配电网试点建设。开展增量配电网规划编制工作，为零碳、低碳园区谋划建设提供坚实支撑。重点推动在呼伦贝尔市经济技术开发区、满洲里产业协作园区和海拉尔区、阿荣旗、扎赉诺尔区等工业园区开展供电区域划分、绿电电源布局和负荷项目招引落地等工作，全面提升我市园区和重点区域供电保障能力与供电服务水平，打造局部电价“洼地”。（责任部门及旗市区：市能源局，</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lang w:eastAsia="zh-CN"/>
        </w:rPr>
        <w:t>，国网呼伦贝尔供电公司）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推动独立储能项目接续发展。聚焦区域网架结构优化升级，持续提升电网调节能力和新能源就地消纳能力。加快推进扎兰屯市50万千瓦独立储能电站项目、呼伦贝尔海北500千伏变电站独立储能电站项目、阿荣旗2个20万千瓦独立储能电站项目、岭东500千伏变电站20万千瓦独立储能电站项目纳入自治区储能规划</w:t>
      </w:r>
      <w:r>
        <w:rPr>
          <w:rFonts w:ascii="仿宋_GB2312" w:eastAsia="仿宋_GB2312" w:cs="仿宋_GB2312"/>
          <w:color w:val="auto"/>
          <w:sz w:val="32"/>
          <w:szCs w:val="32"/>
          <w:highlight w:val="none"/>
          <w:lang w:eastAsia="zh-CN"/>
        </w:rPr>
        <w:t>并加快建设</w:t>
      </w:r>
      <w:r>
        <w:rPr>
          <w:rFonts w:hint="eastAsia" w:ascii="仿宋_GB2312" w:eastAsia="仿宋_GB2312" w:cs="仿宋_GB2312"/>
          <w:color w:val="auto"/>
          <w:sz w:val="32"/>
          <w:szCs w:val="32"/>
          <w:highlight w:val="none"/>
          <w:lang w:eastAsia="zh-CN"/>
        </w:rPr>
        <w:t>，</w:t>
      </w:r>
      <w:r>
        <w:rPr>
          <w:rFonts w:hint="eastAsia" w:ascii="仿宋_GB2312" w:eastAsia="仿宋_GB2312" w:cs="仿宋_GB2312"/>
          <w:color w:val="auto"/>
          <w:sz w:val="32"/>
          <w:szCs w:val="32"/>
          <w:highlight w:val="none"/>
        </w:rPr>
        <w:t>积极推进</w:t>
      </w:r>
      <w:r>
        <w:rPr>
          <w:rFonts w:hint="eastAsia" w:ascii="仿宋_GB2312" w:eastAsia="仿宋_GB2312" w:cs="仿宋_GB2312"/>
          <w:color w:val="auto"/>
          <w:sz w:val="32"/>
          <w:szCs w:val="32"/>
        </w:rPr>
        <w:t>扎赉诺尔区布局独立储能项目</w:t>
      </w:r>
      <w:r>
        <w:rPr>
          <w:rFonts w:ascii="仿宋_GB2312" w:eastAsia="仿宋_GB2312" w:cs="仿宋_GB2312"/>
          <w:color w:val="auto"/>
          <w:sz w:val="32"/>
          <w:szCs w:val="32"/>
        </w:rPr>
        <w:t>，</w:t>
      </w:r>
      <w:r>
        <w:rPr>
          <w:rFonts w:hint="eastAsia" w:ascii="仿宋_GB2312" w:hAnsi="仿宋_GB2312" w:eastAsia="仿宋_GB2312" w:cs="仿宋_GB2312"/>
          <w:color w:val="auto"/>
          <w:sz w:val="32"/>
          <w:szCs w:val="32"/>
          <w:highlight w:val="none"/>
          <w:lang w:eastAsia="zh-CN"/>
        </w:rPr>
        <w:t>推动构建安全稳定、高效灵活的新型电力系统。（责任部门及旗市区：市能源局，</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lang w:eastAsia="zh-CN"/>
        </w:rPr>
        <w:t>，国网呼伦贝尔供电公司）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（3）提升煤电保障和系统调节能力。</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eastAsia="zh-CN"/>
        </w:rPr>
        <w:t>夯实煤电基础保障和支撑调节作用，适度发展民生保障型热电联产项目。</w:t>
      </w:r>
      <w:r>
        <w:rPr>
          <w:rFonts w:hint="eastAsia" w:ascii="仿宋_GB2312" w:hAnsi="仿宋_GB2312" w:eastAsia="仿宋_GB2312" w:cs="仿宋_GB2312"/>
          <w:color w:val="auto"/>
          <w:sz w:val="32"/>
          <w:szCs w:val="32"/>
          <w:highlight w:val="none"/>
          <w:lang w:eastAsia="zh-CN"/>
        </w:rPr>
        <w:t>推进煤电机组低碳化改造，推广生物质掺烧、绿氨掺烧等低碳技术，降低煤耗和碳排放强度，</w:t>
      </w:r>
      <w:r>
        <w:rPr>
          <w:rFonts w:hint="eastAsia" w:ascii="仿宋_GB2312" w:hAnsi="仿宋_GB2312" w:eastAsia="仿宋_GB2312" w:cs="仿宋_GB2312"/>
          <w:color w:val="auto"/>
          <w:sz w:val="32"/>
          <w:szCs w:val="32"/>
          <w:highlight w:val="none"/>
          <w:lang w:val="en-US" w:eastAsia="zh-CN"/>
        </w:rPr>
        <w:t>鼓励行业企业</w:t>
      </w:r>
      <w:r>
        <w:rPr>
          <w:rFonts w:hint="eastAsia" w:ascii="仿宋_GB2312" w:hAnsi="仿宋_GB2312" w:eastAsia="仿宋_GB2312" w:cs="仿宋_GB2312"/>
          <w:color w:val="auto"/>
          <w:sz w:val="32"/>
          <w:szCs w:val="32"/>
          <w:highlight w:val="none"/>
          <w:lang w:eastAsia="zh-CN"/>
        </w:rPr>
        <w:t>探索开展二氧化碳捕集利用与封存（CCUS）试点项目。加快满洲里热电厂扩建2台35万千瓦热电联产煤电一体化及灵改配建新能源项目建成投产，</w:t>
      </w:r>
      <w:r>
        <w:rPr>
          <w:rFonts w:hint="eastAsia" w:ascii="仿宋_GB2312" w:hAnsi="仿宋_GB2312" w:eastAsia="仿宋_GB2312" w:cs="仿宋_GB2312"/>
          <w:color w:val="auto"/>
          <w:sz w:val="32"/>
          <w:szCs w:val="32"/>
          <w:highlight w:val="none"/>
          <w:lang w:val="en-US" w:eastAsia="zh-CN"/>
        </w:rPr>
        <w:t>重点推动额尔古纳城运热电厂生物质掺烧项目落地实施，推进牙克石发电有限公司35万千瓦二期项目列入国家规划并开工建设，增强我市火电供应保障能力，加快向系统调节性电源转型</w:t>
      </w:r>
      <w:r>
        <w:rPr>
          <w:rFonts w:hint="eastAsia" w:ascii="仿宋_GB2312" w:hAnsi="仿宋_GB2312" w:eastAsia="仿宋_GB2312" w:cs="仿宋_GB2312"/>
          <w:color w:val="auto"/>
          <w:sz w:val="32"/>
          <w:szCs w:val="32"/>
          <w:highlight w:val="none"/>
          <w:lang w:eastAsia="zh-CN"/>
        </w:rPr>
        <w:t>，助力我市构建清洁低碳、安全高效的现代能源体系。（责任部门及旗市区：市能源局，</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46"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（4）深化电网工程建设提档升级。开展实施网架结构优化工程，为构建新型电力系统提供坚实支撑。</w:t>
      </w:r>
      <w:r>
        <w:rPr>
          <w:rFonts w:hint="eastAsia" w:ascii="仿宋_GB2312" w:hAnsi="仿宋_GB2312" w:eastAsia="仿宋_GB2312" w:cs="仿宋_GB2312"/>
          <w:color w:val="auto"/>
          <w:sz w:val="32"/>
          <w:szCs w:val="32"/>
          <w:highlight w:val="none"/>
          <w:lang w:val="en-US" w:eastAsia="zh-CN"/>
        </w:rPr>
        <w:t>重点推进呼伦贝尔新能源外送通道前期工作，加快区域主干网架补强、增强配电网韧性、农网巩固提升等工程建设</w:t>
      </w:r>
      <w:r>
        <w:rPr>
          <w:rFonts w:hint="eastAsia" w:ascii="仿宋_GB2312" w:hAnsi="仿宋_GB2312" w:eastAsia="仿宋_GB2312" w:cs="仿宋_GB2312"/>
          <w:color w:val="auto"/>
          <w:sz w:val="32"/>
          <w:szCs w:val="32"/>
          <w:highlight w:val="none"/>
          <w:lang w:eastAsia="zh-CN"/>
        </w:rPr>
        <w:t>，逐步解决低电压、频繁停电等电网短板问题。</w:t>
      </w:r>
      <w:r>
        <w:rPr>
          <w:rFonts w:hint="eastAsia" w:ascii="仿宋_GB2312" w:eastAsia="仿宋_GB2312" w:cs="仿宋_GB2312"/>
          <w:color w:val="auto"/>
          <w:sz w:val="32"/>
          <w:szCs w:val="32"/>
          <w:highlight w:val="none"/>
          <w:lang w:eastAsia="zh-CN"/>
        </w:rPr>
        <w:t>加快解决</w:t>
      </w:r>
      <w:r>
        <w:rPr>
          <w:rFonts w:hint="eastAsia" w:ascii="仿宋_GB2312" w:eastAsia="仿宋_GB2312" w:cs="仿宋_GB2312"/>
          <w:b w:val="0"/>
          <w:bCs w:val="0"/>
          <w:color w:val="auto"/>
          <w:sz w:val="32"/>
          <w:szCs w:val="32"/>
          <w:lang w:eastAsia="zh-CN"/>
        </w:rPr>
        <w:t>林区</w:t>
      </w:r>
      <w:r>
        <w:rPr>
          <w:rFonts w:ascii="仿宋_GB2312" w:eastAsia="仿宋_GB2312" w:cs="仿宋_GB2312"/>
          <w:b w:val="0"/>
          <w:bCs w:val="0"/>
          <w:color w:val="auto"/>
          <w:sz w:val="32"/>
          <w:szCs w:val="32"/>
          <w:lang w:eastAsia="zh-CN"/>
        </w:rPr>
        <w:t>双</w:t>
      </w:r>
      <w:r>
        <w:rPr>
          <w:rFonts w:hint="eastAsia" w:ascii="仿宋_GB2312" w:eastAsia="仿宋_GB2312" w:cs="仿宋_GB2312"/>
          <w:b w:val="0"/>
          <w:bCs w:val="0"/>
          <w:color w:val="auto"/>
          <w:sz w:val="32"/>
          <w:szCs w:val="32"/>
          <w:lang w:eastAsia="zh-CN"/>
        </w:rPr>
        <w:t>回</w:t>
      </w:r>
      <w:r>
        <w:rPr>
          <w:rFonts w:ascii="仿宋_GB2312" w:eastAsia="仿宋_GB2312" w:cs="仿宋_GB2312"/>
          <w:b w:val="0"/>
          <w:bCs w:val="0"/>
          <w:color w:val="auto"/>
          <w:sz w:val="32"/>
          <w:szCs w:val="32"/>
          <w:lang w:eastAsia="zh-CN"/>
        </w:rPr>
        <w:t>线路和牧区偏远农牧户通网电</w:t>
      </w:r>
      <w:r>
        <w:rPr>
          <w:rFonts w:hint="eastAsia" w:ascii="仿宋_GB2312" w:eastAsia="仿宋_GB2312" w:cs="仿宋_GB2312"/>
          <w:b w:val="0"/>
          <w:bCs w:val="0"/>
          <w:color w:val="auto"/>
          <w:sz w:val="32"/>
          <w:szCs w:val="32"/>
          <w:lang w:eastAsia="zh-CN"/>
        </w:rPr>
        <w:t>问题</w:t>
      </w:r>
      <w:r>
        <w:rPr>
          <w:rFonts w:ascii="仿宋_GB2312" w:eastAsia="仿宋_GB2312" w:cs="仿宋_GB2312"/>
          <w:b w:val="0"/>
          <w:bCs w:val="0"/>
          <w:color w:val="auto"/>
          <w:sz w:val="32"/>
          <w:szCs w:val="32"/>
          <w:lang w:eastAsia="zh-CN"/>
        </w:rPr>
        <w:t>，</w:t>
      </w:r>
      <w:r>
        <w:rPr>
          <w:rFonts w:hint="eastAsia" w:ascii="仿宋_GB2312" w:eastAsia="仿宋_GB2312" w:cs="仿宋_GB2312"/>
          <w:color w:val="auto"/>
          <w:sz w:val="32"/>
          <w:szCs w:val="32"/>
          <w:highlight w:val="none"/>
          <w:lang w:eastAsia="zh-CN"/>
        </w:rPr>
        <w:t>有效增强</w:t>
      </w:r>
      <w:r>
        <w:rPr>
          <w:rFonts w:ascii="仿宋_GB2312" w:eastAsia="仿宋_GB2312" w:cs="仿宋_GB2312"/>
          <w:color w:val="auto"/>
          <w:sz w:val="32"/>
          <w:szCs w:val="32"/>
          <w:highlight w:val="none"/>
          <w:lang w:eastAsia="zh-CN"/>
        </w:rPr>
        <w:t>农区</w:t>
      </w:r>
      <w:r>
        <w:rPr>
          <w:rFonts w:hint="eastAsia" w:ascii="仿宋_GB2312" w:eastAsia="仿宋_GB2312" w:cs="仿宋_GB2312"/>
          <w:color w:val="auto"/>
          <w:sz w:val="32"/>
          <w:szCs w:val="32"/>
          <w:highlight w:val="none"/>
          <w:lang w:eastAsia="zh-CN"/>
        </w:rPr>
        <w:t>电采暖负荷、高标准</w:t>
      </w:r>
      <w:r>
        <w:rPr>
          <w:rFonts w:hint="eastAsia" w:ascii="仿宋_GB2312" w:eastAsia="仿宋_GB2312" w:cs="仿宋_GB2312"/>
          <w:color w:val="auto"/>
          <w:sz w:val="32"/>
          <w:szCs w:val="32"/>
          <w:highlight w:val="none"/>
          <w:lang w:val="en-US" w:eastAsia="zh-CN"/>
        </w:rPr>
        <w:t>农田</w:t>
      </w:r>
      <w:r>
        <w:rPr>
          <w:rFonts w:hint="eastAsia" w:ascii="仿宋_GB2312" w:eastAsia="仿宋_GB2312" w:cs="仿宋_GB2312"/>
          <w:color w:val="auto"/>
          <w:sz w:val="32"/>
          <w:szCs w:val="32"/>
          <w:highlight w:val="none"/>
          <w:lang w:eastAsia="zh-CN"/>
        </w:rPr>
        <w:t>保供能力，</w:t>
      </w:r>
      <w:r>
        <w:rPr>
          <w:rFonts w:hint="eastAsia" w:ascii="仿宋_GB2312" w:hAnsi="仿宋_GB2312" w:eastAsia="仿宋_GB2312" w:cs="仿宋_GB2312"/>
          <w:color w:val="auto"/>
          <w:sz w:val="32"/>
          <w:szCs w:val="32"/>
          <w:highlight w:val="none"/>
          <w:lang w:eastAsia="zh-CN"/>
        </w:rPr>
        <w:t>提升我市电力系统输电能力、供电可靠性</w:t>
      </w:r>
      <w:r>
        <w:rPr>
          <w:rFonts w:hint="eastAsia" w:ascii="仿宋_GB2312" w:hAnsi="仿宋_GB2312" w:eastAsia="仿宋_GB2312" w:cs="仿宋_GB2312"/>
          <w:color w:val="auto"/>
          <w:sz w:val="32"/>
          <w:szCs w:val="32"/>
          <w:highlight w:val="none"/>
          <w:lang w:val="en-US" w:eastAsia="zh-CN"/>
        </w:rPr>
        <w:t>和智能化水平</w:t>
      </w:r>
      <w:r>
        <w:rPr>
          <w:rFonts w:hint="eastAsia" w:ascii="仿宋_GB2312" w:hAnsi="仿宋_GB2312" w:eastAsia="仿宋_GB2312" w:cs="仿宋_GB2312"/>
          <w:color w:val="auto"/>
          <w:sz w:val="32"/>
          <w:szCs w:val="32"/>
          <w:highlight w:val="none"/>
          <w:lang w:eastAsia="zh-CN"/>
        </w:rPr>
        <w:t>。（责任部门及旗市区：市能源局，</w:t>
      </w:r>
      <w:r>
        <w:rPr>
          <w:rFonts w:hint="eastAsia" w:ascii="仿宋_GB2312" w:hAnsi="仿宋_GB2312" w:eastAsia="仿宋_GB2312" w:cs="仿宋_GB2312"/>
          <w:color w:val="auto"/>
          <w:sz w:val="32"/>
          <w:szCs w:val="32"/>
          <w:highlight w:val="none"/>
          <w:lang w:val="en-US" w:eastAsia="zh-CN"/>
        </w:rPr>
        <w:t>经开区，</w:t>
      </w:r>
      <w:r>
        <w:rPr>
          <w:rFonts w:hint="eastAsia" w:ascii="仿宋_GB2312" w:hAnsi="仿宋_GB2312" w:eastAsia="仿宋_GB2312" w:cs="仿宋_GB2312"/>
          <w:color w:val="auto"/>
          <w:sz w:val="32"/>
          <w:szCs w:val="32"/>
          <w:highlight w:val="none"/>
          <w:lang w:eastAsia="zh-CN"/>
        </w:rPr>
        <w:t>各旗市区，国网呼伦贝尔供电公司）</w:t>
      </w:r>
    </w:p>
    <w:p>
      <w:pPr>
        <w:keepNext w:val="0"/>
        <w:keepLines w:val="0"/>
        <w:pageBreakBefore w:val="0"/>
        <w:widowControl w:val="0"/>
        <w:kinsoku/>
        <w:wordWrap/>
        <w:overflowPunct/>
        <w:topLinePunct w:val="0"/>
        <w:autoSpaceDE/>
        <w:autoSpaceDN/>
        <w:bidi w:val="0"/>
        <w:adjustRightInd/>
        <w:snapToGrid/>
        <w:spacing w:line="546"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3.</w:t>
      </w:r>
      <w:r>
        <w:rPr>
          <w:rFonts w:hint="eastAsia" w:ascii="仿宋_GB2312" w:hAnsi="仿宋_GB2312" w:eastAsia="仿宋_GB2312" w:cs="仿宋_GB2312"/>
          <w:b/>
          <w:bCs/>
          <w:color w:val="auto"/>
          <w:sz w:val="32"/>
          <w:szCs w:val="32"/>
          <w:highlight w:val="none"/>
        </w:rPr>
        <w:t>新能源产业：全链拓展与多元价值跃升</w:t>
      </w:r>
    </w:p>
    <w:p>
      <w:pPr>
        <w:keepNext w:val="0"/>
        <w:keepLines w:val="0"/>
        <w:pageBreakBefore w:val="0"/>
        <w:widowControl w:val="0"/>
        <w:kinsoku/>
        <w:wordWrap/>
        <w:overflowPunct/>
        <w:topLinePunct w:val="0"/>
        <w:autoSpaceDE/>
        <w:autoSpaceDN/>
        <w:bidi w:val="0"/>
        <w:adjustRightInd/>
        <w:snapToGrid/>
        <w:spacing w:line="546"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（1）提高新能源开发水平。坚持提高新能源供给比重，</w:t>
      </w:r>
      <w:r>
        <w:rPr>
          <w:rFonts w:hint="eastAsia" w:ascii="仿宋_GB2312" w:hAnsi="仿宋_GB2312" w:eastAsia="仿宋_GB2312" w:cs="仿宋_GB2312"/>
          <w:b w:val="0"/>
          <w:bCs w:val="0"/>
          <w:strike w:val="0"/>
          <w:dstrike w:val="0"/>
          <w:color w:val="auto"/>
          <w:spacing w:val="0"/>
          <w:w w:val="100"/>
          <w:kern w:val="2"/>
          <w:sz w:val="32"/>
          <w:szCs w:val="32"/>
          <w:highlight w:val="none"/>
          <w:u w:val="none" w:color="auto"/>
          <w:lang w:val="en" w:eastAsia="zh-CN" w:bidi="ar-SA"/>
        </w:rPr>
        <w:t>科学建设岭东地区风电集中开发带，</w:t>
      </w:r>
      <w:r>
        <w:rPr>
          <w:rFonts w:hint="eastAsia" w:ascii="仿宋_GB2312" w:hAnsi="仿宋_GB2312" w:eastAsia="仿宋_GB2312" w:cs="仿宋_GB2312"/>
          <w:b w:val="0"/>
          <w:bCs w:val="0"/>
          <w:color w:val="auto"/>
          <w:sz w:val="32"/>
          <w:szCs w:val="32"/>
          <w:highlight w:val="none"/>
          <w:lang w:eastAsia="zh-CN"/>
        </w:rPr>
        <w:t>探索风光开发与生态保护结合模式，推动沙地、盐碱地等区域大型风光项目建设。重点在岭西布局“沙戈荒”新能源基地，大力推进绿电外送通道，推动1200万千瓦大型风光基地、4×66万千瓦火电调峰电源及配套165万千瓦×4小时新型储能项目</w:t>
      </w:r>
      <w:r>
        <w:rPr>
          <w:rFonts w:hint="eastAsia" w:ascii="仿宋_GB2312" w:hAnsi="仿宋_GB2312" w:eastAsia="仿宋_GB2312" w:cs="仿宋_GB2312"/>
          <w:b w:val="0"/>
          <w:bCs w:val="0"/>
          <w:strike w:val="0"/>
          <w:dstrike w:val="0"/>
          <w:color w:val="auto"/>
          <w:sz w:val="32"/>
          <w:szCs w:val="32"/>
          <w:highlight w:val="none"/>
          <w:u w:val="none"/>
          <w:lang w:eastAsia="zh-CN"/>
        </w:rPr>
        <w:t>建设</w:t>
      </w:r>
      <w:r>
        <w:rPr>
          <w:rFonts w:hint="eastAsia" w:ascii="仿宋_GB2312" w:hAnsi="仿宋_GB2312" w:eastAsia="仿宋_GB2312" w:cs="仿宋_GB2312"/>
          <w:b w:val="0"/>
          <w:bCs w:val="0"/>
          <w:color w:val="auto"/>
          <w:sz w:val="32"/>
          <w:szCs w:val="32"/>
          <w:highlight w:val="none"/>
          <w:lang w:eastAsia="zh-CN"/>
        </w:rPr>
        <w:t>。系统推进资源整合与基地开发，最大限度释放区域新能源资源潜力，持续提升新能源输送能力和消纳水平。（责任部门</w:t>
      </w:r>
      <w:r>
        <w:rPr>
          <w:rFonts w:hint="eastAsia" w:ascii="仿宋_GB2312" w:hAnsi="仿宋_GB2312" w:eastAsia="仿宋_GB2312" w:cs="仿宋_GB2312"/>
          <w:color w:val="auto"/>
          <w:sz w:val="32"/>
          <w:szCs w:val="32"/>
          <w:highlight w:val="none"/>
          <w:lang w:eastAsia="zh-CN"/>
        </w:rPr>
        <w:t>及旗市区</w:t>
      </w:r>
      <w:r>
        <w:rPr>
          <w:rFonts w:hint="eastAsia" w:ascii="仿宋_GB2312" w:hAnsi="仿宋_GB2312" w:eastAsia="仿宋_GB2312" w:cs="仿宋_GB2312"/>
          <w:b w:val="0"/>
          <w:bCs w:val="0"/>
          <w:color w:val="auto"/>
          <w:sz w:val="32"/>
          <w:szCs w:val="32"/>
          <w:highlight w:val="none"/>
          <w:lang w:eastAsia="zh-CN"/>
        </w:rPr>
        <w:t>：市</w:t>
      </w:r>
      <w:r>
        <w:rPr>
          <w:rFonts w:hint="eastAsia" w:ascii="仿宋_GB2312" w:hAnsi="仿宋_GB2312" w:eastAsia="仿宋_GB2312" w:cs="仿宋_GB2312"/>
          <w:b w:val="0"/>
          <w:bCs w:val="0"/>
          <w:color w:val="auto"/>
          <w:sz w:val="32"/>
          <w:szCs w:val="32"/>
          <w:highlight w:val="none"/>
          <w:lang w:val="en-US" w:eastAsia="zh-CN"/>
        </w:rPr>
        <w:t>能源局、</w:t>
      </w:r>
      <w:r>
        <w:rPr>
          <w:rFonts w:hint="eastAsia" w:ascii="仿宋_GB2312" w:hAnsi="仿宋_GB2312" w:eastAsia="仿宋_GB2312" w:cs="仿宋_GB2312"/>
          <w:b w:val="0"/>
          <w:bCs w:val="0"/>
          <w:color w:val="auto"/>
          <w:sz w:val="32"/>
          <w:szCs w:val="32"/>
          <w:highlight w:val="none"/>
          <w:lang w:eastAsia="zh-CN"/>
        </w:rPr>
        <w:t>自然资源局，经开区</w:t>
      </w:r>
      <w:r>
        <w:rPr>
          <w:rFonts w:hint="eastAsia" w:ascii="仿宋_GB2312" w:hAnsi="仿宋_GB2312" w:eastAsia="仿宋_GB2312" w:cs="仿宋_GB2312"/>
          <w:b w:val="0"/>
          <w:bCs w:val="0"/>
          <w:color w:val="auto"/>
          <w:sz w:val="32"/>
          <w:szCs w:val="32"/>
          <w:highlight w:val="none"/>
          <w:lang w:val="en-US" w:eastAsia="zh-CN"/>
        </w:rPr>
        <w:t>，相关旗市区</w:t>
      </w:r>
      <w:r>
        <w:rPr>
          <w:rFonts w:hint="eastAsia" w:ascii="仿宋_GB2312" w:hAnsi="仿宋_GB2312" w:eastAsia="仿宋_GB2312" w:cs="仿宋_GB2312"/>
          <w:b w:val="0"/>
          <w:bCs w:val="0"/>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46"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（2）推动发展绿氢产业。依托自治区“蒙东振兴措施”政策红利，全力融入蒙东绿色氢氨醇基地建设。重点发展绿氢制绿色航煤、绿色甲醇、绿氨产业链，推动氢能与化工、交通、</w:t>
      </w:r>
      <w:r>
        <w:rPr>
          <w:rFonts w:hint="eastAsia" w:ascii="仿宋_GB2312" w:hAnsi="仿宋_GB2312" w:eastAsia="仿宋_GB2312" w:cs="仿宋_GB2312"/>
          <w:b w:val="0"/>
          <w:bCs w:val="0"/>
          <w:color w:val="auto"/>
          <w:sz w:val="32"/>
          <w:szCs w:val="32"/>
          <w:highlight w:val="none"/>
          <w:lang w:val="en-US" w:eastAsia="zh-CN"/>
        </w:rPr>
        <w:t>农业、文旅、</w:t>
      </w:r>
      <w:r>
        <w:rPr>
          <w:rFonts w:hint="eastAsia" w:ascii="仿宋_GB2312" w:hAnsi="仿宋_GB2312" w:eastAsia="仿宋_GB2312" w:cs="仿宋_GB2312"/>
          <w:b w:val="0"/>
          <w:bCs w:val="0"/>
          <w:color w:val="auto"/>
          <w:sz w:val="32"/>
          <w:szCs w:val="32"/>
          <w:highlight w:val="none"/>
          <w:lang w:eastAsia="zh-CN"/>
        </w:rPr>
        <w:t>电力等领域深度融合，探索氢能重卡、动力装备、</w:t>
      </w:r>
      <w:r>
        <w:rPr>
          <w:rFonts w:hint="eastAsia" w:ascii="仿宋_GB2312" w:hAnsi="仿宋_GB2312" w:eastAsia="仿宋_GB2312" w:cs="仿宋_GB2312"/>
          <w:b w:val="0"/>
          <w:bCs w:val="0"/>
          <w:color w:val="auto"/>
          <w:sz w:val="32"/>
          <w:szCs w:val="32"/>
          <w:highlight w:val="none"/>
          <w:lang w:val="en-US" w:eastAsia="zh-CN"/>
        </w:rPr>
        <w:t>氮肥生产、</w:t>
      </w:r>
      <w:r>
        <w:rPr>
          <w:rFonts w:hint="eastAsia" w:ascii="仿宋_GB2312" w:hAnsi="仿宋_GB2312" w:eastAsia="仿宋_GB2312" w:cs="仿宋_GB2312"/>
          <w:b w:val="0"/>
          <w:bCs w:val="0"/>
          <w:color w:val="auto"/>
          <w:sz w:val="32"/>
          <w:szCs w:val="32"/>
          <w:highlight w:val="none"/>
          <w:lang w:eastAsia="zh-CN"/>
        </w:rPr>
        <w:t>备用电源等多元化应用场景</w:t>
      </w:r>
      <w:r>
        <w:rPr>
          <w:rFonts w:hint="eastAsia" w:ascii="仿宋_GB2312" w:hAnsi="仿宋_GB2312" w:eastAsia="仿宋_GB2312" w:cs="仿宋_GB2312"/>
          <w:b w:val="0"/>
          <w:bCs w:val="0"/>
          <w:strike w:val="0"/>
          <w:dstrike w:val="0"/>
          <w:color w:val="auto"/>
          <w:sz w:val="32"/>
          <w:szCs w:val="32"/>
          <w:highlight w:val="none"/>
          <w:lang w:eastAsia="zh-CN"/>
        </w:rPr>
        <w:t>，同步</w:t>
      </w:r>
      <w:r>
        <w:rPr>
          <w:rFonts w:hint="eastAsia" w:ascii="仿宋_GB2312" w:hAnsi="仿宋_GB2312" w:eastAsia="仿宋_GB2312" w:cs="仿宋_GB2312"/>
          <w:b w:val="0"/>
          <w:bCs w:val="0"/>
          <w:strike w:val="0"/>
          <w:dstrike w:val="0"/>
          <w:color w:val="auto"/>
          <w:sz w:val="32"/>
          <w:szCs w:val="32"/>
          <w:highlight w:val="none"/>
          <w:lang w:val="en-US" w:eastAsia="zh-CN"/>
        </w:rPr>
        <w:t>布局</w:t>
      </w:r>
      <w:r>
        <w:rPr>
          <w:rFonts w:hint="eastAsia" w:ascii="仿宋_GB2312" w:hAnsi="仿宋_GB2312" w:eastAsia="仿宋_GB2312" w:cs="仿宋_GB2312"/>
          <w:b w:val="0"/>
          <w:bCs w:val="0"/>
          <w:strike w:val="0"/>
          <w:dstrike w:val="0"/>
          <w:color w:val="auto"/>
          <w:sz w:val="32"/>
          <w:szCs w:val="32"/>
          <w:highlight w:val="none"/>
          <w:lang w:eastAsia="zh-CN"/>
        </w:rPr>
        <w:t>交通物流、公共交通等专用加氢站，构建“车—站”协同网络，</w:t>
      </w:r>
      <w:r>
        <w:rPr>
          <w:rFonts w:hint="eastAsia" w:ascii="仿宋_GB2312" w:hAnsi="仿宋_GB2312" w:eastAsia="仿宋_GB2312" w:cs="仿宋_GB2312"/>
          <w:b w:val="0"/>
          <w:bCs w:val="0"/>
          <w:color w:val="auto"/>
          <w:sz w:val="32"/>
          <w:szCs w:val="32"/>
          <w:highlight w:val="none"/>
          <w:lang w:eastAsia="zh-CN"/>
        </w:rPr>
        <w:t>推动新能源从单一发电向高附加值产业升级。（责任部门及旗市区：市能源局、工信局，经开区，各旗市区）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（3）完善丰富新能源开发场景。</w:t>
      </w:r>
      <w:r>
        <w:rPr>
          <w:rFonts w:hint="eastAsia" w:ascii="仿宋_GB2312" w:hAnsi="仿宋_GB2312" w:eastAsia="仿宋_GB2312" w:cs="仿宋_GB2312"/>
          <w:b w:val="0"/>
          <w:bCs w:val="0"/>
          <w:color w:val="auto"/>
          <w:sz w:val="32"/>
          <w:szCs w:val="32"/>
          <w:highlight w:val="none"/>
          <w:lang w:val="en-US" w:eastAsia="zh-CN"/>
        </w:rPr>
        <w:t>统筹</w:t>
      </w:r>
      <w:r>
        <w:rPr>
          <w:rFonts w:hint="eastAsia" w:ascii="仿宋_GB2312" w:hAnsi="仿宋_GB2312" w:eastAsia="仿宋_GB2312" w:cs="仿宋_GB2312"/>
          <w:b w:val="0"/>
          <w:bCs w:val="0"/>
          <w:color w:val="auto"/>
          <w:sz w:val="32"/>
          <w:szCs w:val="32"/>
          <w:highlight w:val="none"/>
          <w:lang w:eastAsia="zh-CN"/>
        </w:rPr>
        <w:t>推动分布式能源项目</w:t>
      </w:r>
      <w:r>
        <w:rPr>
          <w:rFonts w:hint="eastAsia" w:ascii="仿宋_GB2312" w:hAnsi="仿宋_GB2312" w:eastAsia="仿宋_GB2312" w:cs="仿宋_GB2312"/>
          <w:b w:val="0"/>
          <w:bCs w:val="0"/>
          <w:color w:val="auto"/>
          <w:sz w:val="32"/>
          <w:szCs w:val="32"/>
          <w:highlight w:val="none"/>
          <w:lang w:val="en-US" w:eastAsia="zh-CN"/>
        </w:rPr>
        <w:t>建设</w:t>
      </w:r>
      <w:r>
        <w:rPr>
          <w:rFonts w:hint="eastAsia" w:ascii="仿宋_GB2312" w:hAnsi="仿宋_GB2312" w:eastAsia="仿宋_GB2312" w:cs="仿宋_GB2312"/>
          <w:b w:val="0"/>
          <w:bCs w:val="0"/>
          <w:color w:val="auto"/>
          <w:sz w:val="32"/>
          <w:szCs w:val="32"/>
          <w:highlight w:val="none"/>
          <w:lang w:eastAsia="zh-CN"/>
        </w:rPr>
        <w:t>，科学有序推进水电开发，推进牙克石100万千瓦抽水蓄能项目前期手续办理。挖掘生物质能潜力，利用我市丰富的农作物秸秆等生物质资源，发展生物质制</w:t>
      </w:r>
      <w:r>
        <w:rPr>
          <w:rFonts w:hint="eastAsia" w:ascii="仿宋_GB2312" w:hAnsi="仿宋_GB2312" w:eastAsia="仿宋_GB2312" w:cs="仿宋_GB2312"/>
          <w:b w:val="0"/>
          <w:bCs w:val="0"/>
          <w:color w:val="auto"/>
          <w:sz w:val="32"/>
          <w:szCs w:val="32"/>
          <w:highlight w:val="none"/>
          <w:lang w:val="en-US" w:eastAsia="zh-CN"/>
        </w:rPr>
        <w:t>甲醇</w:t>
      </w:r>
      <w:r>
        <w:rPr>
          <w:rFonts w:hint="eastAsia" w:ascii="仿宋_GB2312" w:hAnsi="仿宋_GB2312" w:eastAsia="仿宋_GB2312" w:cs="仿宋_GB2312"/>
          <w:b w:val="0"/>
          <w:bCs w:val="0"/>
          <w:color w:val="auto"/>
          <w:sz w:val="32"/>
          <w:szCs w:val="32"/>
          <w:highlight w:val="none"/>
          <w:lang w:eastAsia="zh-CN"/>
        </w:rPr>
        <w:t>等产业，提高生物质能利用效率，形成多元化的新能源供应体系。落实要素保障，加大用地、用水等保障力度，</w:t>
      </w:r>
      <w:r>
        <w:rPr>
          <w:rFonts w:hint="eastAsia" w:ascii="仿宋_GB2312" w:hAnsi="仿宋_GB2312" w:eastAsia="仿宋_GB2312" w:cs="仿宋_GB2312"/>
          <w:b w:val="0"/>
          <w:bCs w:val="0"/>
          <w:color w:val="auto"/>
          <w:sz w:val="32"/>
          <w:szCs w:val="32"/>
          <w:highlight w:val="none"/>
          <w:lang w:val="en-US" w:eastAsia="zh-CN"/>
        </w:rPr>
        <w:t>及时</w:t>
      </w:r>
      <w:r>
        <w:rPr>
          <w:rFonts w:hint="eastAsia" w:ascii="仿宋_GB2312" w:hAnsi="仿宋_GB2312" w:eastAsia="仿宋_GB2312" w:cs="仿宋_GB2312"/>
          <w:b w:val="0"/>
          <w:bCs w:val="0"/>
          <w:color w:val="auto"/>
          <w:sz w:val="32"/>
          <w:szCs w:val="32"/>
          <w:highlight w:val="none"/>
          <w:lang w:eastAsia="zh-CN"/>
        </w:rPr>
        <w:t>将分布式能源项目纳入国土空间规划，简化占用林地审批流程，助推项目落地。（责任部门及旗市区：市能源局、发展改革委、工信局，经开区，各旗市区）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4）拓宽就地消纳渠道。引导新能源自发自用，以市场为导向，在经开区等重点工业园区探索“产业驱动—绿电直供”协同发展模式，按照“以荷定源”原则，推动高载能产业绿电供应，推行绿电直供试点，降低企业用电成本。谋划推动自发自用、新增负荷绿电直连、绿色氢氨醇、绿色航油、有色金属冶炼等市场化消纳项目7—8个，推动高载能产业与新能源产业协同发展。</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责任单位</w:t>
      </w:r>
      <w:r>
        <w:rPr>
          <w:rFonts w:hint="eastAsia" w:ascii="仿宋_GB2312" w:hAnsi="仿宋_GB2312" w:eastAsia="仿宋_GB2312" w:cs="仿宋_GB2312"/>
          <w:b w:val="0"/>
          <w:bCs w:val="0"/>
          <w:color w:val="auto"/>
          <w:sz w:val="32"/>
          <w:szCs w:val="32"/>
          <w:highlight w:val="none"/>
          <w:lang w:eastAsia="zh-CN"/>
        </w:rPr>
        <w:t>及旗市区</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rPr>
        <w:t>市能源局、工信局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经开区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lang w:eastAsia="zh-CN"/>
        </w:rPr>
        <w:t>，国网呼伦贝尔供电公司</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5</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推动油气增储上产。围绕增储上产核心任务，强化关键环节攻坚，持续推动油气与清洁能源项目突破发展。推进海</w:t>
      </w:r>
      <w:r>
        <w:rPr>
          <w:rFonts w:hint="eastAsia" w:ascii="仿宋_GB2312" w:hAnsi="仿宋_GB2312" w:eastAsia="仿宋_GB2312" w:cs="仿宋_GB2312"/>
          <w:color w:val="auto"/>
          <w:sz w:val="32"/>
          <w:szCs w:val="32"/>
          <w:highlight w:val="none"/>
          <w:lang w:val="en-US" w:eastAsia="zh-CN"/>
        </w:rPr>
        <w:t>拉尔油田加大储采投入，实现油田“控递减”与安全满负荷生产。加强与黑龙江省协同，将齐齐哈尔至呼伦贝尔天然气管道项目纳入国家相关规划。全力推进牙克石市牧原煤层气开发项目，推动解决储量报告编制、探矿权转采矿权等关键环节问题，同步开展配套管道布局方案研究，逐步实现“气化呼伦贝尔”目标。（责任部门及旗市区：市能源局、发展改革委、工信局，相关旗市区，市城投公司）</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4.</w:t>
      </w:r>
      <w:r>
        <w:rPr>
          <w:rFonts w:hint="eastAsia" w:ascii="仿宋_GB2312" w:hAnsi="仿宋_GB2312" w:eastAsia="仿宋_GB2312" w:cs="仿宋_GB2312"/>
          <w:b/>
          <w:bCs/>
          <w:color w:val="auto"/>
          <w:sz w:val="32"/>
          <w:szCs w:val="32"/>
          <w:highlight w:val="none"/>
        </w:rPr>
        <w:t>有色金属产业：全链构建与</w:t>
      </w:r>
      <w:r>
        <w:rPr>
          <w:rFonts w:hint="eastAsia" w:ascii="仿宋_GB2312" w:hAnsi="仿宋_GB2312" w:eastAsia="仿宋_GB2312" w:cs="仿宋_GB2312"/>
          <w:b/>
          <w:bCs/>
          <w:color w:val="auto"/>
          <w:sz w:val="32"/>
          <w:szCs w:val="32"/>
          <w:highlight w:val="none"/>
          <w:lang w:val="en-US" w:eastAsia="zh-CN"/>
        </w:rPr>
        <w:t>高</w:t>
      </w:r>
      <w:r>
        <w:rPr>
          <w:rFonts w:hint="eastAsia" w:ascii="仿宋_GB2312" w:hAnsi="仿宋_GB2312" w:eastAsia="仿宋_GB2312" w:cs="仿宋_GB2312"/>
          <w:b/>
          <w:bCs/>
          <w:color w:val="auto"/>
          <w:sz w:val="32"/>
          <w:szCs w:val="32"/>
          <w:highlight w:val="none"/>
        </w:rPr>
        <w:t>端价值进阶</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实施“找矿行动”。深入实施矿产资源“找矿突破战略行动”，加大勘查投入，加强乌奴格吐山—甲乌拉铜多金属矿、黑龙江多宝山—内蒙古宜里铜金矿等重点成矿带的地质勘查工作，力争铜、铅、锌等矿产资源量实现新突破。加大老矿区深部及外围勘查力度，拉动和引导矿山企业加大资金投入，开展“攻深探边”，形成重要矿产资源接续储备。加强矿产资源开发利用工作，推动5宗采矿权投产、5宗探矿权转采、6宗探矿权出让。（责任部门</w:t>
      </w:r>
      <w:r>
        <w:rPr>
          <w:rFonts w:hint="eastAsia" w:ascii="仿宋_GB2312" w:hAnsi="仿宋_GB2312" w:eastAsia="仿宋_GB2312" w:cs="仿宋_GB2312"/>
          <w:b w:val="0"/>
          <w:bCs w:val="0"/>
          <w:color w:val="auto"/>
          <w:sz w:val="32"/>
          <w:szCs w:val="32"/>
          <w:highlight w:val="none"/>
          <w:lang w:eastAsia="zh-CN"/>
        </w:rPr>
        <w:t>及旗市区</w:t>
      </w:r>
      <w:r>
        <w:rPr>
          <w:rFonts w:hint="eastAsia" w:ascii="仿宋_GB2312" w:hAnsi="仿宋_GB2312" w:eastAsia="仿宋_GB2312" w:cs="仿宋_GB2312"/>
          <w:color w:val="auto"/>
          <w:sz w:val="32"/>
          <w:szCs w:val="32"/>
          <w:highlight w:val="none"/>
          <w:lang w:val="en-US" w:eastAsia="zh-CN"/>
        </w:rPr>
        <w:t>：市自然资源局、发展改革委，各旗市区）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发展精深加工。在现有铜、铅、锌金属产量的基础上，鼓励现有企业扩能升级，有效利用境外有色金属矿产资源，引进发展铜冶炼加工、铅锌合金生产等加工制造项目，推动总投资超百亿元包含17个子项目的中国黄金集团产业结构优化与效能提升综合项目尽早落地实施，推动产业链延伸、资源就地转化增值，提高产品附加值。（责任部门及旗市区：市工信局、发展改革委、投促中心，经开区，相关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推动资源循环利用。加强低品位废石、副产品、尾矿等资源综合利用，促进与化工、建材等产业耦合发展，构建循环产业链，提高资源综合利用水平。在现有年产20万吨铅锌冶炼副产品硫酸的基础上通过铅锌冶炼扩能、引进建设铜冶炼项目，“十五五”期末硫酸年产能力争达到60万吨，利用域外、境外萤石、磷矿资源，谋划发展氟化工、磷化工等消纳硫酸项目，提高副产硫酸消纳能力。</w:t>
      </w:r>
      <w:r>
        <w:rPr>
          <w:rFonts w:hint="eastAsia" w:ascii="仿宋_GB2312" w:hAnsi="仿宋_GB2312" w:eastAsia="仿宋_GB2312" w:cs="仿宋_GB2312"/>
          <w:b w:val="0"/>
          <w:bCs w:val="0"/>
          <w:color w:val="auto"/>
          <w:sz w:val="32"/>
          <w:szCs w:val="32"/>
          <w:highlight w:val="none"/>
          <w:lang w:val="en-US" w:eastAsia="zh-CN"/>
        </w:rPr>
        <w:t>统筹谋划周边配套化工产业和产能提升所需资源。</w:t>
      </w:r>
      <w:r>
        <w:rPr>
          <w:rFonts w:hint="eastAsia" w:ascii="仿宋_GB2312" w:hAnsi="仿宋_GB2312" w:eastAsia="仿宋_GB2312" w:cs="仿宋_GB2312"/>
          <w:color w:val="auto"/>
          <w:sz w:val="32"/>
          <w:szCs w:val="32"/>
          <w:highlight w:val="none"/>
          <w:lang w:val="en-US" w:eastAsia="zh-CN"/>
        </w:rPr>
        <w:t>探索建材加工、井下物料填充等转化路径，提高尾矿综合利用水平。（责任部门：市工信局、自然资源局、生态环境局、发展改革委、投促中心）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深化跨境资源合作。依托满洲里、黑山头等口岸优势，统筹做好俄蒙毗邻地区有色金属矿产资源分布情况及进出口政策等系统梳理工作，稳定铜、铅、锌等矿产资源进口渠道，做好进口资源落地工作，全面提升进口资源落地加工要素保障能力。（责任部门及旗市区：市商务局、外事办，满洲里海关，各口岸旗市区）</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5.</w:t>
      </w:r>
      <w:r>
        <w:rPr>
          <w:rFonts w:hint="eastAsia" w:ascii="仿宋_GB2312" w:hAnsi="仿宋_GB2312" w:eastAsia="仿宋_GB2312" w:cs="仿宋_GB2312"/>
          <w:b/>
          <w:bCs/>
          <w:color w:val="auto"/>
          <w:sz w:val="32"/>
          <w:szCs w:val="32"/>
          <w:highlight w:val="none"/>
        </w:rPr>
        <w:t>制造业：</w:t>
      </w:r>
      <w:r>
        <w:rPr>
          <w:rFonts w:hint="eastAsia" w:ascii="仿宋_GB2312" w:hAnsi="仿宋_GB2312" w:eastAsia="仿宋_GB2312" w:cs="仿宋_GB2312"/>
          <w:b/>
          <w:bCs/>
          <w:color w:val="auto"/>
          <w:sz w:val="32"/>
          <w:szCs w:val="32"/>
          <w:highlight w:val="none"/>
          <w:lang w:val="en-US" w:eastAsia="zh-CN"/>
        </w:rPr>
        <w:t>夯实优势产业基础</w:t>
      </w:r>
      <w:r>
        <w:rPr>
          <w:rFonts w:hint="eastAsia" w:ascii="仿宋_GB2312" w:hAnsi="仿宋_GB2312" w:eastAsia="仿宋_GB2312" w:cs="仿宋_GB2312"/>
          <w:b/>
          <w:bCs/>
          <w:color w:val="auto"/>
          <w:sz w:val="32"/>
          <w:szCs w:val="32"/>
          <w:highlight w:val="none"/>
        </w:rPr>
        <w:t>与</w:t>
      </w:r>
      <w:r>
        <w:rPr>
          <w:rFonts w:hint="eastAsia" w:ascii="仿宋_GB2312" w:hAnsi="仿宋_GB2312" w:eastAsia="仿宋_GB2312" w:cs="仿宋_GB2312"/>
          <w:b/>
          <w:bCs/>
          <w:color w:val="auto"/>
          <w:sz w:val="32"/>
          <w:szCs w:val="32"/>
          <w:highlight w:val="none"/>
          <w:lang w:val="en-US" w:eastAsia="zh-CN"/>
        </w:rPr>
        <w:t>促进</w:t>
      </w:r>
      <w:r>
        <w:rPr>
          <w:rFonts w:hint="eastAsia" w:ascii="仿宋_GB2312" w:hAnsi="仿宋_GB2312" w:eastAsia="仿宋_GB2312" w:cs="仿宋_GB2312"/>
          <w:b/>
          <w:bCs/>
          <w:color w:val="auto"/>
          <w:sz w:val="32"/>
          <w:szCs w:val="32"/>
          <w:highlight w:val="none"/>
        </w:rPr>
        <w:t>集群发展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（1）做强</w:t>
      </w:r>
      <w:r>
        <w:rPr>
          <w:rFonts w:hint="eastAsia" w:ascii="仿宋_GB2312" w:hAnsi="仿宋_GB2312" w:eastAsia="仿宋_GB2312" w:cs="仿宋_GB2312"/>
          <w:color w:val="auto"/>
          <w:sz w:val="32"/>
          <w:szCs w:val="32"/>
          <w:highlight w:val="none"/>
          <w:lang w:val="en-US" w:eastAsia="zh-CN"/>
        </w:rPr>
        <w:t>食品制造</w:t>
      </w:r>
      <w:r>
        <w:rPr>
          <w:rFonts w:hint="eastAsia" w:ascii="仿宋_GB2312" w:hAnsi="仿宋_GB2312" w:eastAsia="仿宋_GB2312" w:cs="仿宋_GB2312"/>
          <w:color w:val="auto"/>
          <w:sz w:val="32"/>
          <w:szCs w:val="32"/>
          <w:highlight w:val="none"/>
        </w:rPr>
        <w:t>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val="en-US" w:eastAsia="zh-CN"/>
        </w:rPr>
        <w:t>立足全链打造、深度开发，</w:t>
      </w:r>
      <w:r>
        <w:rPr>
          <w:rFonts w:hint="eastAsia" w:ascii="仿宋_GB2312" w:hAnsi="仿宋_GB2312" w:eastAsia="仿宋_GB2312" w:cs="仿宋_GB2312"/>
          <w:color w:val="auto"/>
          <w:sz w:val="32"/>
          <w:szCs w:val="32"/>
          <w:highlight w:val="none"/>
        </w:rPr>
        <w:t>培育区域公用品牌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val="en-US" w:eastAsia="zh-CN"/>
        </w:rPr>
        <w:t>促进“好产品卖出好价钱”。</w:t>
      </w:r>
      <w:r>
        <w:rPr>
          <w:rFonts w:hint="eastAsia" w:ascii="仿宋_GB2312" w:hAnsi="仿宋_GB2312" w:eastAsia="仿宋_GB2312" w:cs="仿宋_GB2312"/>
          <w:color w:val="auto"/>
          <w:sz w:val="32"/>
          <w:szCs w:val="32"/>
          <w:highlight w:val="none"/>
        </w:rPr>
        <w:t>支持乳制品企业扩大加工规模，升级生产工艺，开发高端液态奶、婴幼儿配方乳粉、</w:t>
      </w:r>
      <w:r>
        <w:rPr>
          <w:rFonts w:hint="eastAsia" w:ascii="仿宋_GB2312" w:hAnsi="仿宋_GB2312" w:eastAsia="仿宋_GB2312" w:cs="仿宋_GB2312"/>
          <w:color w:val="auto"/>
          <w:sz w:val="32"/>
          <w:szCs w:val="32"/>
          <w:highlight w:val="none"/>
          <w:lang w:val="en-US" w:eastAsia="zh-CN"/>
        </w:rPr>
        <w:t>羊奶</w:t>
      </w:r>
      <w:r>
        <w:rPr>
          <w:rFonts w:hint="eastAsia" w:ascii="仿宋_GB2312" w:hAnsi="仿宋_GB2312" w:eastAsia="仿宋_GB2312" w:cs="仿宋_GB2312"/>
          <w:color w:val="auto"/>
          <w:sz w:val="32"/>
          <w:szCs w:val="32"/>
          <w:highlight w:val="none"/>
        </w:rPr>
        <w:t>制品等高端产品，打造从奶源到终端产品的完整产业链</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推动肉制品加工企业向精细分割、熟食加工、预制菜生产等方向转型，</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eastAsia="zh-CN"/>
        </w:rPr>
        <w:t>综合利用皮毛骨血等副产物，发展牛骨肽、胶原蛋白肽等产品</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进口俄罗斯大麦、燕麦、油菜籽等农产品，开展粮油精深加工，探索培育植物蛋白、宠物食品等产业。</w:t>
      </w:r>
      <w:r>
        <w:rPr>
          <w:rFonts w:hint="eastAsia" w:ascii="仿宋_GB2312" w:hAnsi="仿宋_GB2312" w:eastAsia="仿宋_GB2312" w:cs="仿宋_GB2312"/>
          <w:color w:val="auto"/>
          <w:sz w:val="32"/>
          <w:szCs w:val="32"/>
          <w:highlight w:val="none"/>
          <w:lang w:eastAsia="zh-CN"/>
        </w:rPr>
        <w:t>延伸玉米、</w:t>
      </w:r>
      <w:r>
        <w:rPr>
          <w:rFonts w:hint="eastAsia" w:ascii="仿宋_GB2312" w:hAnsi="仿宋_GB2312" w:eastAsia="仿宋_GB2312" w:cs="仿宋_GB2312"/>
          <w:color w:val="auto"/>
          <w:sz w:val="32"/>
          <w:szCs w:val="32"/>
          <w:highlight w:val="none"/>
          <w:lang w:val="en-US" w:eastAsia="zh-CN"/>
        </w:rPr>
        <w:t>大豆、甜菜</w:t>
      </w:r>
      <w:r>
        <w:rPr>
          <w:rFonts w:hint="eastAsia" w:ascii="仿宋_GB2312" w:hAnsi="仿宋_GB2312" w:eastAsia="仿宋_GB2312" w:cs="仿宋_GB2312"/>
          <w:color w:val="auto"/>
          <w:sz w:val="32"/>
          <w:szCs w:val="32"/>
          <w:highlight w:val="none"/>
          <w:lang w:eastAsia="zh-CN"/>
        </w:rPr>
        <w:t>加工</w:t>
      </w:r>
      <w:r>
        <w:rPr>
          <w:rFonts w:hint="eastAsia" w:ascii="仿宋_GB2312" w:hAnsi="仿宋_GB2312" w:eastAsia="仿宋_GB2312" w:cs="仿宋_GB2312"/>
          <w:color w:val="auto"/>
          <w:sz w:val="32"/>
          <w:szCs w:val="32"/>
          <w:highlight w:val="none"/>
          <w:lang w:val="en-US" w:eastAsia="zh-CN"/>
        </w:rPr>
        <w:t>等</w:t>
      </w:r>
      <w:r>
        <w:rPr>
          <w:rFonts w:hint="eastAsia" w:ascii="仿宋_GB2312" w:hAnsi="仿宋_GB2312" w:eastAsia="仿宋_GB2312" w:cs="仿宋_GB2312"/>
          <w:color w:val="auto"/>
          <w:sz w:val="32"/>
          <w:szCs w:val="32"/>
          <w:highlight w:val="none"/>
          <w:lang w:eastAsia="zh-CN"/>
        </w:rPr>
        <w:t>产业链，</w:t>
      </w:r>
      <w:r>
        <w:rPr>
          <w:rFonts w:hint="eastAsia" w:ascii="仿宋_GB2312" w:hAnsi="仿宋_GB2312" w:eastAsia="仿宋_GB2312" w:cs="仿宋_GB2312"/>
          <w:color w:val="auto"/>
          <w:sz w:val="32"/>
          <w:szCs w:val="32"/>
          <w:highlight w:val="none"/>
          <w:lang w:val="en-US" w:eastAsia="zh-CN"/>
        </w:rPr>
        <w:t>培育</w:t>
      </w:r>
      <w:r>
        <w:rPr>
          <w:rFonts w:hint="eastAsia" w:ascii="仿宋_GB2312" w:hAnsi="仿宋_GB2312" w:eastAsia="仿宋_GB2312" w:cs="仿宋_GB2312"/>
          <w:color w:val="auto"/>
          <w:sz w:val="32"/>
          <w:szCs w:val="32"/>
          <w:highlight w:val="none"/>
          <w:lang w:eastAsia="zh-CN"/>
        </w:rPr>
        <w:t>发展氨基酸、淀粉糖、</w:t>
      </w:r>
      <w:r>
        <w:rPr>
          <w:rFonts w:hint="eastAsia" w:ascii="仿宋_GB2312" w:hAnsi="仿宋_GB2312" w:eastAsia="仿宋_GB2312" w:cs="仿宋_GB2312"/>
          <w:color w:val="auto"/>
          <w:sz w:val="32"/>
          <w:szCs w:val="32"/>
          <w:highlight w:val="none"/>
          <w:lang w:val="en-US" w:eastAsia="zh-CN"/>
        </w:rPr>
        <w:t>酵母、食品粕</w:t>
      </w:r>
      <w:r>
        <w:rPr>
          <w:rFonts w:hint="eastAsia" w:ascii="仿宋_GB2312" w:hAnsi="仿宋_GB2312" w:eastAsia="仿宋_GB2312" w:cs="仿宋_GB2312"/>
          <w:color w:val="auto"/>
          <w:sz w:val="32"/>
          <w:szCs w:val="32"/>
          <w:highlight w:val="none"/>
          <w:lang w:eastAsia="zh-CN"/>
        </w:rPr>
        <w:t>等精深加工产品，提高农产品附加值。（</w:t>
      </w:r>
      <w:r>
        <w:rPr>
          <w:rFonts w:hint="eastAsia" w:ascii="仿宋_GB2312" w:hAnsi="仿宋_GB2312" w:eastAsia="仿宋_GB2312" w:cs="仿宋_GB2312"/>
          <w:color w:val="auto"/>
          <w:sz w:val="32"/>
          <w:szCs w:val="32"/>
          <w:highlight w:val="none"/>
          <w:lang w:val="en-US" w:eastAsia="zh-CN"/>
        </w:rPr>
        <w:t>责任部门</w:t>
      </w:r>
      <w:r>
        <w:rPr>
          <w:rFonts w:hint="eastAsia" w:ascii="仿宋_GB2312" w:hAnsi="仿宋_GB2312" w:eastAsia="仿宋_GB2312" w:cs="仿宋_GB2312"/>
          <w:color w:val="auto"/>
          <w:sz w:val="32"/>
          <w:szCs w:val="32"/>
          <w:highlight w:val="none"/>
          <w:lang w:eastAsia="zh-CN"/>
        </w:rPr>
        <w:t>及旗市区</w:t>
      </w:r>
      <w:r>
        <w:rPr>
          <w:rFonts w:hint="eastAsia" w:ascii="仿宋_GB2312" w:hAnsi="仿宋_GB2312" w:eastAsia="仿宋_GB2312" w:cs="仿宋_GB2312"/>
          <w:color w:val="auto"/>
          <w:sz w:val="32"/>
          <w:szCs w:val="32"/>
          <w:highlight w:val="none"/>
          <w:lang w:val="en-US" w:eastAsia="zh-CN"/>
        </w:rPr>
        <w:t>：市工信局、农牧局、市场监管局，农垦集团，相关旗市区</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（2）推进生物制造产业发展。聚焦生物医药和生物发酵两大领域，</w:t>
      </w:r>
      <w:r>
        <w:rPr>
          <w:rFonts w:hint="eastAsia" w:ascii="仿宋_GB2312" w:hAnsi="仿宋_GB2312" w:eastAsia="仿宋_GB2312" w:cs="仿宋_GB2312"/>
          <w:color w:val="auto"/>
          <w:sz w:val="32"/>
          <w:szCs w:val="32"/>
          <w:highlight w:val="none"/>
          <w:lang w:val="en-US" w:eastAsia="zh-CN"/>
        </w:rPr>
        <w:t>主动服务企业，强化要素资源配置。</w:t>
      </w:r>
      <w:r>
        <w:rPr>
          <w:rFonts w:hint="eastAsia" w:ascii="仿宋_GB2312" w:hAnsi="仿宋_GB2312" w:eastAsia="仿宋_GB2312" w:cs="仿宋_GB2312"/>
          <w:color w:val="auto"/>
          <w:sz w:val="32"/>
          <w:szCs w:val="32"/>
          <w:highlight w:val="none"/>
        </w:rPr>
        <w:t>依托东北阜丰建设全球最大玉米氨基酸生产基地，巩固扩大优势产品产能。谋划推</w:t>
      </w:r>
      <w:r>
        <w:rPr>
          <w:rFonts w:hint="eastAsia" w:ascii="仿宋_GB2312" w:hAnsi="仿宋_GB2312" w:eastAsia="仿宋_GB2312" w:cs="仿宋_GB2312"/>
          <w:color w:val="auto"/>
          <w:sz w:val="32"/>
          <w:szCs w:val="32"/>
          <w:highlight w:val="none"/>
          <w:lang w:val="en-US" w:eastAsia="zh-CN"/>
        </w:rPr>
        <w:t>动</w:t>
      </w:r>
      <w:r>
        <w:rPr>
          <w:rFonts w:hint="eastAsia" w:ascii="仿宋_GB2312" w:hAnsi="仿宋_GB2312" w:eastAsia="仿宋_GB2312" w:cs="仿宋_GB2312"/>
          <w:color w:val="auto"/>
          <w:sz w:val="32"/>
          <w:szCs w:val="32"/>
          <w:highlight w:val="none"/>
        </w:rPr>
        <w:t>东北阜丰</w:t>
      </w:r>
      <w:r>
        <w:rPr>
          <w:rFonts w:hint="eastAsia" w:ascii="仿宋_GB2312" w:hAnsi="仿宋_GB2312" w:eastAsia="仿宋_GB2312" w:cs="仿宋_GB2312"/>
          <w:color w:val="auto"/>
          <w:sz w:val="32"/>
          <w:szCs w:val="32"/>
          <w:highlight w:val="none"/>
          <w:lang w:val="en-US" w:eastAsia="zh-CN"/>
        </w:rPr>
        <w:t>技术改造</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安琪晟通酵母制品</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齐鲁制药兽药中间体</w:t>
      </w:r>
      <w:r>
        <w:rPr>
          <w:rFonts w:hint="eastAsia" w:ascii="仿宋_GB2312" w:hAnsi="仿宋_GB2312" w:eastAsia="仿宋_GB2312" w:cs="仿宋_GB2312"/>
          <w:color w:val="auto"/>
          <w:sz w:val="32"/>
          <w:szCs w:val="32"/>
          <w:highlight w:val="none"/>
        </w:rPr>
        <w:t>等项目</w:t>
      </w:r>
      <w:r>
        <w:rPr>
          <w:rFonts w:hint="eastAsia" w:ascii="仿宋_GB2312" w:hAnsi="仿宋_GB2312" w:eastAsia="仿宋_GB2312" w:cs="仿宋_GB2312"/>
          <w:color w:val="auto"/>
          <w:sz w:val="32"/>
          <w:szCs w:val="32"/>
          <w:highlight w:val="none"/>
          <w:lang w:val="en-US" w:eastAsia="zh-CN"/>
        </w:rPr>
        <w:t>建设</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加快盘活鸿洋药业等停产停建项目，</w:t>
      </w:r>
      <w:r>
        <w:rPr>
          <w:rFonts w:hint="eastAsia" w:ascii="仿宋_GB2312" w:hAnsi="仿宋_GB2312" w:eastAsia="仿宋_GB2312" w:cs="仿宋_GB2312"/>
          <w:color w:val="auto"/>
          <w:sz w:val="32"/>
          <w:szCs w:val="32"/>
          <w:highlight w:val="none"/>
        </w:rPr>
        <w:t>抓好海邻生物新型饲用蛋白、法麦克斯味精尾液深加工特肥产品</w:t>
      </w:r>
      <w:r>
        <w:rPr>
          <w:rFonts w:hint="eastAsia" w:ascii="仿宋_GB2312" w:hAnsi="仿宋_GB2312" w:eastAsia="仿宋_GB2312" w:cs="仿宋_GB2312"/>
          <w:color w:val="auto"/>
          <w:sz w:val="32"/>
          <w:szCs w:val="32"/>
          <w:highlight w:val="none"/>
          <w:lang w:val="en-US" w:eastAsia="zh-CN"/>
        </w:rPr>
        <w:t>等产业链</w:t>
      </w:r>
      <w:r>
        <w:rPr>
          <w:rFonts w:hint="eastAsia" w:ascii="仿宋_GB2312" w:hAnsi="仿宋_GB2312" w:eastAsia="仿宋_GB2312" w:cs="仿宋_GB2312"/>
          <w:color w:val="auto"/>
          <w:sz w:val="32"/>
          <w:szCs w:val="32"/>
          <w:highlight w:val="none"/>
        </w:rPr>
        <w:t>配套项目建设</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聚焦阜丰、齐鲁等龙头企业延伸产业链条，谋划</w:t>
      </w:r>
      <w:r>
        <w:rPr>
          <w:rFonts w:hint="eastAsia" w:ascii="仿宋_GB2312" w:hAnsi="仿宋_GB2312" w:eastAsia="仿宋_GB2312" w:cs="仿宋_GB2312"/>
          <w:color w:val="auto"/>
          <w:sz w:val="32"/>
          <w:szCs w:val="32"/>
          <w:highlight w:val="none"/>
        </w:rPr>
        <w:t>拓展氨基酸衍生物、生物饲料</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生物医药</w:t>
      </w:r>
      <w:r>
        <w:rPr>
          <w:rFonts w:hint="eastAsia" w:ascii="仿宋_GB2312" w:hAnsi="仿宋_GB2312" w:eastAsia="仿宋_GB2312" w:cs="仿宋_GB2312"/>
          <w:color w:val="auto"/>
          <w:sz w:val="32"/>
          <w:szCs w:val="32"/>
          <w:highlight w:val="none"/>
        </w:rPr>
        <w:t>制剂等深加工产品，延长产品价值链。支持企业通过技术改造提升加工水平，稳固主打产品市场地位，逐步显现生物制造产业集群效应。（责任部门及旗市区：市工信局、农牧局、</w:t>
      </w:r>
      <w:r>
        <w:rPr>
          <w:rFonts w:hint="eastAsia" w:ascii="仿宋_GB2312" w:hAnsi="仿宋_GB2312" w:eastAsia="仿宋_GB2312" w:cs="仿宋_GB2312"/>
          <w:color w:val="auto"/>
          <w:sz w:val="32"/>
          <w:szCs w:val="32"/>
          <w:highlight w:val="none"/>
          <w:lang w:eastAsia="zh-CN"/>
        </w:rPr>
        <w:t>发展改革委，</w:t>
      </w:r>
      <w:r>
        <w:rPr>
          <w:rFonts w:hint="eastAsia" w:ascii="仿宋_GB2312" w:hAnsi="仿宋_GB2312" w:eastAsia="仿宋_GB2312" w:cs="仿宋_GB2312"/>
          <w:color w:val="auto"/>
          <w:sz w:val="32"/>
          <w:szCs w:val="32"/>
          <w:highlight w:val="none"/>
        </w:rPr>
        <w:t>经开区，</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推动高端装备制造业协同发展。重点依托农垦集团的应用场景优势，支持华德、</w:t>
      </w:r>
      <w:r>
        <w:rPr>
          <w:rFonts w:hint="eastAsia" w:ascii="仿宋_GB2312" w:hAnsi="仿宋_GB2312" w:eastAsia="仿宋_GB2312" w:cs="仿宋_GB2312"/>
          <w:color w:val="auto"/>
          <w:sz w:val="32"/>
          <w:szCs w:val="32"/>
          <w:highlight w:val="none"/>
          <w:lang w:val="en-US" w:eastAsia="zh-CN"/>
        </w:rPr>
        <w:t>玖嘉、</w:t>
      </w:r>
      <w:r>
        <w:rPr>
          <w:rFonts w:hint="eastAsia" w:ascii="仿宋_GB2312" w:hAnsi="仿宋_GB2312" w:eastAsia="仿宋_GB2312" w:cs="仿宋_GB2312"/>
          <w:color w:val="auto"/>
          <w:sz w:val="32"/>
          <w:szCs w:val="32"/>
          <w:highlight w:val="none"/>
        </w:rPr>
        <w:t>野田铁牛</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金耕</w:t>
      </w:r>
      <w:r>
        <w:rPr>
          <w:rFonts w:hint="eastAsia" w:ascii="仿宋_GB2312" w:hAnsi="仿宋_GB2312" w:eastAsia="仿宋_GB2312" w:cs="仿宋_GB2312"/>
          <w:color w:val="auto"/>
          <w:sz w:val="32"/>
          <w:szCs w:val="32"/>
          <w:highlight w:val="none"/>
        </w:rPr>
        <w:t>等具备技术与研发基础的企业及科研机构，围绕本地短缺机型进行集中攻关，提升国产农机替代能力，深化研发、制造、应用一体化，带动农机装备产业整体升级。聚焦新能源装备、低空装备等前沿领域，着力引进龙头企业并培育本地配套体系，逐步构建“资源开发</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rPr>
        <w:t>装备制造</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rPr>
        <w:t>应用示范”的完整产业链条，增强产业发展协同性。（责任部门及旗市区：市工信局、农牧局、科技局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经开区，</w:t>
      </w:r>
      <w:r>
        <w:rPr>
          <w:rFonts w:hint="eastAsia" w:ascii="仿宋_GB2312" w:hAnsi="仿宋_GB2312" w:eastAsia="仿宋_GB2312" w:cs="仿宋_GB2312"/>
          <w:color w:val="auto"/>
          <w:sz w:val="32"/>
          <w:szCs w:val="32"/>
          <w:highlight w:val="none"/>
          <w:lang w:val="en-US" w:eastAsia="zh-CN"/>
        </w:rPr>
        <w:t>相关旗市区，</w:t>
      </w:r>
      <w:r>
        <w:rPr>
          <w:rFonts w:hint="eastAsia" w:ascii="仿宋_GB2312" w:hAnsi="仿宋_GB2312" w:eastAsia="仿宋_GB2312" w:cs="仿宋_GB2312"/>
          <w:color w:val="auto"/>
          <w:sz w:val="32"/>
          <w:szCs w:val="32"/>
          <w:highlight w:val="none"/>
        </w:rPr>
        <w:t>农垦集团）</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trike w:val="0"/>
          <w:dstrike w:val="0"/>
          <w:color w:val="auto"/>
          <w:sz w:val="32"/>
          <w:szCs w:val="32"/>
          <w:highlight w:val="none"/>
          <w:lang w:eastAsia="zh-CN"/>
        </w:rPr>
      </w:pPr>
      <w:r>
        <w:rPr>
          <w:rFonts w:hint="eastAsia" w:ascii="仿宋_GB2312" w:hAnsi="仿宋_GB2312" w:eastAsia="仿宋_GB2312" w:cs="仿宋_GB2312"/>
          <w:strike w:val="0"/>
          <w:dstrike w:val="0"/>
          <w:color w:val="auto"/>
          <w:sz w:val="32"/>
          <w:szCs w:val="32"/>
          <w:highlight w:val="none"/>
          <w:lang w:eastAsia="zh-CN"/>
        </w:rPr>
        <w:t>（</w:t>
      </w:r>
      <w:r>
        <w:rPr>
          <w:rFonts w:hint="eastAsia" w:ascii="仿宋_GB2312" w:hAnsi="仿宋_GB2312" w:eastAsia="仿宋_GB2312" w:cs="仿宋_GB2312"/>
          <w:strike w:val="0"/>
          <w:dstrike w:val="0"/>
          <w:color w:val="auto"/>
          <w:sz w:val="32"/>
          <w:szCs w:val="32"/>
          <w:highlight w:val="none"/>
          <w:lang w:val="en-US" w:eastAsia="zh-CN"/>
        </w:rPr>
        <w:t>4</w:t>
      </w:r>
      <w:r>
        <w:rPr>
          <w:rFonts w:hint="eastAsia" w:ascii="仿宋_GB2312" w:hAnsi="仿宋_GB2312" w:eastAsia="仿宋_GB2312" w:cs="仿宋_GB2312"/>
          <w:strike w:val="0"/>
          <w:dstrike w:val="0"/>
          <w:color w:val="auto"/>
          <w:sz w:val="32"/>
          <w:szCs w:val="32"/>
          <w:highlight w:val="none"/>
          <w:lang w:eastAsia="zh-CN"/>
        </w:rPr>
        <w:t>）推动化工产业转型升级。结合绿电、绿氢产业，引进发展绿氨、绿醇以及下游绿色能源化工产业链，重点推进浙江运达16万吨绿色甲醇项目等。加快进口资源落地转化，重点发展液化石油气加工，培育发展顺酐、聚丙烯等产业。推</w:t>
      </w:r>
      <w:r>
        <w:rPr>
          <w:rFonts w:hint="eastAsia" w:ascii="仿宋_GB2312" w:hAnsi="仿宋_GB2312" w:eastAsia="仿宋_GB2312" w:cs="仿宋_GB2312"/>
          <w:strike w:val="0"/>
          <w:dstrike w:val="0"/>
          <w:color w:val="auto"/>
          <w:sz w:val="32"/>
          <w:szCs w:val="32"/>
          <w:highlight w:val="none"/>
          <w:lang w:val="en-US" w:eastAsia="zh-CN"/>
        </w:rPr>
        <w:t>动</w:t>
      </w:r>
      <w:r>
        <w:rPr>
          <w:rFonts w:hint="eastAsia" w:ascii="仿宋_GB2312" w:hAnsi="仿宋_GB2312" w:eastAsia="仿宋_GB2312" w:cs="仿宋_GB2312"/>
          <w:strike w:val="0"/>
          <w:dstrike w:val="0"/>
          <w:color w:val="auto"/>
          <w:sz w:val="32"/>
          <w:szCs w:val="32"/>
          <w:highlight w:val="none"/>
          <w:lang w:eastAsia="zh-CN"/>
        </w:rPr>
        <w:t>褐煤就地高效清洁转化利用，</w:t>
      </w:r>
      <w:r>
        <w:rPr>
          <w:rFonts w:hint="eastAsia" w:ascii="仿宋_GB2312" w:hAnsi="仿宋_GB2312" w:eastAsia="仿宋_GB2312" w:cs="仿宋_GB2312"/>
          <w:strike w:val="0"/>
          <w:dstrike w:val="0"/>
          <w:color w:val="auto"/>
          <w:sz w:val="32"/>
          <w:szCs w:val="32"/>
          <w:highlight w:val="none"/>
          <w:lang w:val="en-US" w:eastAsia="zh-CN"/>
        </w:rPr>
        <w:t>加快</w:t>
      </w:r>
      <w:r>
        <w:rPr>
          <w:rFonts w:hint="eastAsia" w:ascii="仿宋_GB2312" w:hAnsi="仿宋_GB2312" w:eastAsia="仿宋_GB2312" w:cs="仿宋_GB2312"/>
          <w:strike w:val="0"/>
          <w:dstrike w:val="0"/>
          <w:color w:val="auto"/>
          <w:sz w:val="32"/>
          <w:szCs w:val="32"/>
          <w:highlight w:val="none"/>
          <w:lang w:eastAsia="zh-CN"/>
        </w:rPr>
        <w:t>煤化工产业提档升级，全市煤炭就地转化率超过40%，引导现有合成氨、甲醇企业搭载绿电、绿氢，推动化工与新能源产业耦合发展，实现“灰氢替代”，降低生产成本及碳排放、碳消耗。</w:t>
      </w:r>
      <w:r>
        <w:rPr>
          <w:rFonts w:hint="eastAsia" w:ascii="仿宋_GB2312" w:hAnsi="仿宋_GB2312" w:eastAsia="仿宋_GB2312" w:cs="仿宋_GB2312"/>
          <w:strike w:val="0"/>
          <w:dstrike w:val="0"/>
          <w:color w:val="auto"/>
          <w:sz w:val="32"/>
          <w:szCs w:val="32"/>
          <w:highlight w:val="none"/>
        </w:rPr>
        <w:t>支持金新化工、东能化工等煤化工企业延伸产业链，</w:t>
      </w:r>
      <w:r>
        <w:rPr>
          <w:rFonts w:hint="eastAsia" w:ascii="仿宋_GB2312" w:hAnsi="仿宋_GB2312" w:eastAsia="仿宋_GB2312" w:cs="仿宋_GB2312"/>
          <w:b w:val="0"/>
          <w:bCs w:val="0"/>
          <w:strike w:val="0"/>
          <w:dstrike w:val="0"/>
          <w:color w:val="auto"/>
          <w:sz w:val="32"/>
          <w:szCs w:val="32"/>
          <w:highlight w:val="none"/>
          <w:lang w:val="en-US" w:eastAsia="zh-CN"/>
        </w:rPr>
        <w:t>推动盘活大唐化肥项</w:t>
      </w:r>
      <w:r>
        <w:rPr>
          <w:rFonts w:hint="eastAsia" w:ascii="仿宋_GB2312" w:hAnsi="仿宋_GB2312" w:eastAsia="仿宋_GB2312" w:cs="仿宋_GB2312"/>
          <w:strike w:val="0"/>
          <w:dstrike w:val="0"/>
          <w:color w:val="auto"/>
          <w:sz w:val="32"/>
          <w:szCs w:val="32"/>
          <w:highlight w:val="none"/>
          <w:lang w:val="en-US" w:eastAsia="zh-CN"/>
        </w:rPr>
        <w:t>目，</w:t>
      </w:r>
      <w:r>
        <w:rPr>
          <w:rFonts w:hint="eastAsia" w:ascii="仿宋_GB2312" w:hAnsi="仿宋_GB2312" w:eastAsia="仿宋_GB2312" w:cs="仿宋_GB2312"/>
          <w:strike w:val="0"/>
          <w:dstrike w:val="0"/>
          <w:color w:val="auto"/>
          <w:sz w:val="32"/>
          <w:szCs w:val="32"/>
          <w:highlight w:val="none"/>
          <w:lang w:eastAsia="zh-CN"/>
        </w:rPr>
        <w:t>谋划发展高端氮肥、</w:t>
      </w:r>
      <w:r>
        <w:rPr>
          <w:rFonts w:hint="eastAsia" w:ascii="仿宋_GB2312" w:hAnsi="仿宋_GB2312" w:eastAsia="仿宋_GB2312" w:cs="仿宋_GB2312"/>
          <w:strike w:val="0"/>
          <w:dstrike w:val="0"/>
          <w:color w:val="auto"/>
          <w:sz w:val="32"/>
          <w:szCs w:val="32"/>
          <w:highlight w:val="none"/>
          <w:lang w:val="en-US" w:eastAsia="zh-CN"/>
        </w:rPr>
        <w:t>复合肥</w:t>
      </w:r>
      <w:r>
        <w:rPr>
          <w:rFonts w:hint="eastAsia" w:ascii="仿宋_GB2312" w:hAnsi="仿宋_GB2312" w:eastAsia="仿宋_GB2312" w:cs="仿宋_GB2312"/>
          <w:strike w:val="0"/>
          <w:dstrike w:val="0"/>
          <w:color w:val="auto"/>
          <w:sz w:val="32"/>
          <w:szCs w:val="32"/>
          <w:highlight w:val="none"/>
          <w:lang w:eastAsia="zh-CN"/>
        </w:rPr>
        <w:t>等下游产品。探索发展褐煤低温热解工艺、煤炭分质利用等，谋划</w:t>
      </w:r>
      <w:r>
        <w:rPr>
          <w:rFonts w:hint="eastAsia" w:ascii="仿宋_GB2312" w:hAnsi="仿宋_GB2312" w:eastAsia="仿宋_GB2312" w:cs="仿宋_GB2312"/>
          <w:strike w:val="0"/>
          <w:dstrike w:val="0"/>
          <w:color w:val="auto"/>
          <w:sz w:val="32"/>
          <w:szCs w:val="32"/>
          <w:highlight w:val="none"/>
          <w:lang w:val="en-US" w:eastAsia="zh-CN"/>
        </w:rPr>
        <w:t>碳基新材料</w:t>
      </w:r>
      <w:r>
        <w:rPr>
          <w:rFonts w:hint="eastAsia" w:ascii="仿宋_GB2312" w:hAnsi="仿宋_GB2312" w:eastAsia="仿宋_GB2312" w:cs="仿宋_GB2312"/>
          <w:strike w:val="0"/>
          <w:dstrike w:val="0"/>
          <w:color w:val="auto"/>
          <w:sz w:val="32"/>
          <w:szCs w:val="32"/>
          <w:highlight w:val="none"/>
          <w:lang w:eastAsia="zh-CN"/>
        </w:rPr>
        <w:t>高附加值产品。培育壮大精细化工产业，鼓励臻浩触媒等企业开发新产品，研发新技术，增强铝镍合金催化剂、活性炭等产品细分领域竞争力。（责任单位</w:t>
      </w:r>
      <w:r>
        <w:rPr>
          <w:rFonts w:hint="eastAsia" w:ascii="仿宋_GB2312" w:hAnsi="仿宋_GB2312" w:eastAsia="仿宋_GB2312" w:cs="仿宋_GB2312"/>
          <w:color w:val="auto"/>
          <w:sz w:val="32"/>
          <w:szCs w:val="32"/>
          <w:highlight w:val="none"/>
        </w:rPr>
        <w:t>及旗市区</w:t>
      </w:r>
      <w:r>
        <w:rPr>
          <w:rFonts w:hint="eastAsia" w:ascii="仿宋_GB2312" w:hAnsi="仿宋_GB2312" w:eastAsia="仿宋_GB2312" w:cs="仿宋_GB2312"/>
          <w:strike w:val="0"/>
          <w:dstrike w:val="0"/>
          <w:color w:val="auto"/>
          <w:sz w:val="32"/>
          <w:szCs w:val="32"/>
          <w:highlight w:val="none"/>
          <w:lang w:eastAsia="zh-CN"/>
        </w:rPr>
        <w:t>：市工信局、</w:t>
      </w:r>
      <w:r>
        <w:rPr>
          <w:rFonts w:hint="eastAsia" w:ascii="仿宋_GB2312" w:hAnsi="仿宋_GB2312" w:eastAsia="仿宋_GB2312" w:cs="仿宋_GB2312"/>
          <w:color w:val="auto"/>
          <w:sz w:val="32"/>
          <w:szCs w:val="32"/>
          <w:highlight w:val="none"/>
          <w:lang w:eastAsia="zh-CN"/>
        </w:rPr>
        <w:t>发展改革委</w:t>
      </w:r>
      <w:r>
        <w:rPr>
          <w:rFonts w:hint="eastAsia" w:ascii="仿宋_GB2312" w:hAnsi="仿宋_GB2312" w:eastAsia="仿宋_GB2312" w:cs="仿宋_GB2312"/>
          <w:strike w:val="0"/>
          <w:dstrike w:val="0"/>
          <w:color w:val="auto"/>
          <w:sz w:val="32"/>
          <w:szCs w:val="32"/>
          <w:highlight w:val="none"/>
          <w:lang w:eastAsia="zh-CN"/>
        </w:rPr>
        <w:t>、能源局</w:t>
      </w:r>
      <w:r>
        <w:rPr>
          <w:rFonts w:hint="eastAsia" w:ascii="仿宋_GB2312" w:hAnsi="仿宋_GB2312" w:eastAsia="仿宋_GB2312" w:cs="仿宋_GB2312"/>
          <w:strike w:val="0"/>
          <w:dstrike w:val="0"/>
          <w:color w:val="auto"/>
          <w:sz w:val="32"/>
          <w:szCs w:val="32"/>
          <w:highlight w:val="none"/>
          <w:lang w:val="en-US" w:eastAsia="zh-CN"/>
        </w:rPr>
        <w:t>，相关旗市区</w:t>
      </w:r>
      <w:r>
        <w:rPr>
          <w:rFonts w:hint="eastAsia" w:ascii="仿宋_GB2312" w:hAnsi="仿宋_GB2312" w:eastAsia="仿宋_GB2312" w:cs="仿宋_GB2312"/>
          <w:strike w:val="0"/>
          <w:dstrike w:val="0"/>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w:t>
      </w:r>
      <w:r>
        <w:rPr>
          <w:rFonts w:hint="eastAsia" w:ascii="楷体_GB2312" w:hAnsi="楷体_GB2312" w:eastAsia="楷体_GB2312" w:cs="楷体_GB2312"/>
          <w:b/>
          <w:bCs/>
          <w:color w:val="auto"/>
          <w:sz w:val="32"/>
          <w:szCs w:val="32"/>
          <w:highlight w:val="none"/>
          <w:lang w:val="en-US" w:eastAsia="zh-CN"/>
        </w:rPr>
        <w:t>二</w:t>
      </w:r>
      <w:r>
        <w:rPr>
          <w:rFonts w:hint="eastAsia" w:ascii="楷体_GB2312" w:hAnsi="楷体_GB2312" w:eastAsia="楷体_GB2312" w:cs="楷体_GB2312"/>
          <w:b/>
          <w:bCs/>
          <w:color w:val="auto"/>
          <w:sz w:val="32"/>
          <w:szCs w:val="32"/>
          <w:highlight w:val="none"/>
        </w:rPr>
        <w:t>）强化</w:t>
      </w:r>
      <w:r>
        <w:rPr>
          <w:rFonts w:hint="eastAsia" w:ascii="楷体_GB2312" w:hAnsi="楷体_GB2312" w:eastAsia="楷体_GB2312" w:cs="楷体_GB2312"/>
          <w:b/>
          <w:bCs/>
          <w:color w:val="auto"/>
          <w:sz w:val="32"/>
          <w:szCs w:val="32"/>
          <w:highlight w:val="none"/>
          <w:lang w:val="en-US" w:eastAsia="zh-CN"/>
        </w:rPr>
        <w:t>四维</w:t>
      </w:r>
      <w:r>
        <w:rPr>
          <w:rFonts w:hint="eastAsia" w:ascii="楷体_GB2312" w:hAnsi="楷体_GB2312" w:eastAsia="楷体_GB2312" w:cs="楷体_GB2312"/>
          <w:b/>
          <w:bCs/>
          <w:color w:val="auto"/>
          <w:sz w:val="32"/>
          <w:szCs w:val="32"/>
          <w:highlight w:val="none"/>
        </w:rPr>
        <w:t>赋能，为工业转型升级提供有力支撑</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1.</w:t>
      </w:r>
      <w:r>
        <w:rPr>
          <w:rFonts w:hint="eastAsia" w:ascii="仿宋_GB2312" w:hAnsi="仿宋_GB2312" w:eastAsia="仿宋_GB2312" w:cs="仿宋_GB2312"/>
          <w:b/>
          <w:bCs/>
          <w:color w:val="auto"/>
          <w:sz w:val="32"/>
          <w:szCs w:val="32"/>
          <w:highlight w:val="none"/>
        </w:rPr>
        <w:t>政策</w:t>
      </w:r>
      <w:r>
        <w:rPr>
          <w:rFonts w:hint="eastAsia" w:ascii="仿宋_GB2312" w:hAnsi="仿宋_GB2312" w:eastAsia="仿宋_GB2312" w:cs="仿宋_GB2312"/>
          <w:b/>
          <w:bCs/>
          <w:color w:val="auto"/>
          <w:sz w:val="32"/>
          <w:szCs w:val="32"/>
          <w:highlight w:val="none"/>
          <w:lang w:val="en-US" w:eastAsia="zh-CN"/>
        </w:rPr>
        <w:t>维度</w:t>
      </w:r>
      <w:r>
        <w:rPr>
          <w:rFonts w:hint="eastAsia" w:ascii="仿宋_GB2312" w:hAnsi="仿宋_GB2312" w:eastAsia="仿宋_GB2312" w:cs="仿宋_GB2312"/>
          <w:b/>
          <w:bCs/>
          <w:color w:val="auto"/>
          <w:sz w:val="32"/>
          <w:szCs w:val="32"/>
          <w:highlight w:val="none"/>
        </w:rPr>
        <w:t>赋能：精准支持与改革提效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green"/>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深化</w:t>
      </w:r>
      <w:r>
        <w:rPr>
          <w:rFonts w:hint="eastAsia" w:ascii="仿宋_GB2312" w:hAnsi="仿宋_GB2312" w:eastAsia="仿宋_GB2312" w:cs="仿宋_GB2312"/>
          <w:color w:val="auto"/>
          <w:sz w:val="32"/>
          <w:szCs w:val="32"/>
          <w:highlight w:val="none"/>
        </w:rPr>
        <w:t>落实</w:t>
      </w:r>
      <w:r>
        <w:rPr>
          <w:rFonts w:hint="eastAsia" w:ascii="仿宋_GB2312" w:hAnsi="仿宋_GB2312" w:eastAsia="仿宋_GB2312" w:cs="仿宋_GB2312"/>
          <w:color w:val="auto"/>
          <w:sz w:val="32"/>
          <w:szCs w:val="32"/>
          <w:highlight w:val="none"/>
          <w:lang w:val="en-US" w:eastAsia="zh-CN"/>
        </w:rPr>
        <w:t>国家、自治区有关</w:t>
      </w:r>
      <w:r>
        <w:rPr>
          <w:rFonts w:hint="eastAsia" w:ascii="仿宋_GB2312" w:hAnsi="仿宋_GB2312" w:eastAsia="仿宋_GB2312" w:cs="仿宋_GB2312"/>
          <w:color w:val="auto"/>
          <w:sz w:val="32"/>
          <w:szCs w:val="32"/>
          <w:highlight w:val="none"/>
        </w:rPr>
        <w:t>政策</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积极落实《国务院关于推动内蒙古高质量发展奋力书写中国式现代化新篇章的意见》</w:t>
      </w:r>
      <w:r>
        <w:rPr>
          <w:rFonts w:hint="eastAsia" w:ascii="仿宋_GB2312" w:hAnsi="仿宋_GB2312" w:eastAsia="仿宋_GB2312" w:cs="仿宋_GB2312"/>
          <w:color w:val="auto"/>
          <w:sz w:val="32"/>
          <w:szCs w:val="32"/>
          <w:highlight w:val="none"/>
          <w:lang w:val="en-US" w:eastAsia="zh-CN"/>
        </w:rPr>
        <w:t>、自治区党委《振兴蒙东措施》及自治区政府《关于授权和委托用地审批权的通知》，自然资源部《关于开展2025年度全国国土变更调查及森林草原湿地荒漠调查监测工作的通知》等政策</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对《意见》明确的推动创建技术创新中心、培育发展先进制造业集群、提升电信普遍服务水平、稳步推进工业节水减排、承接产业转移等方面工作持续发力，久久为功。</w:t>
      </w:r>
      <w:r>
        <w:rPr>
          <w:rFonts w:hint="eastAsia" w:ascii="仿宋_GB2312" w:hAnsi="仿宋_GB2312" w:eastAsia="仿宋_GB2312" w:cs="仿宋_GB2312"/>
          <w:color w:val="auto"/>
          <w:sz w:val="32"/>
          <w:szCs w:val="32"/>
          <w:highlight w:val="none"/>
        </w:rPr>
        <w:t>在电力外送、</w:t>
      </w:r>
      <w:r>
        <w:rPr>
          <w:rFonts w:hint="eastAsia" w:ascii="仿宋_GB2312" w:hAnsi="仿宋_GB2312" w:eastAsia="仿宋_GB2312" w:cs="仿宋_GB2312"/>
          <w:color w:val="auto"/>
          <w:sz w:val="32"/>
          <w:szCs w:val="32"/>
          <w:highlight w:val="none"/>
          <w:lang w:val="en-US" w:eastAsia="zh-CN"/>
        </w:rPr>
        <w:t>蒙东地区打造绿色氢氨醇基地建设</w:t>
      </w:r>
      <w:r>
        <w:rPr>
          <w:rFonts w:hint="eastAsia" w:ascii="仿宋_GB2312" w:hAnsi="仿宋_GB2312" w:eastAsia="仿宋_GB2312" w:cs="仿宋_GB2312"/>
          <w:color w:val="auto"/>
          <w:sz w:val="32"/>
          <w:szCs w:val="32"/>
          <w:highlight w:val="none"/>
        </w:rPr>
        <w:t>、褐煤</w:t>
      </w:r>
      <w:r>
        <w:rPr>
          <w:rFonts w:hint="eastAsia" w:ascii="仿宋_GB2312" w:hAnsi="仿宋_GB2312" w:eastAsia="仿宋_GB2312" w:cs="仿宋_GB2312"/>
          <w:color w:val="auto"/>
          <w:sz w:val="32"/>
          <w:szCs w:val="32"/>
          <w:highlight w:val="none"/>
          <w:lang w:eastAsia="zh-CN"/>
        </w:rPr>
        <w:t>高质</w:t>
      </w:r>
      <w:r>
        <w:rPr>
          <w:rFonts w:hint="eastAsia" w:ascii="仿宋_GB2312" w:hAnsi="仿宋_GB2312" w:eastAsia="仿宋_GB2312" w:cs="仿宋_GB2312"/>
          <w:color w:val="auto"/>
          <w:sz w:val="32"/>
          <w:szCs w:val="32"/>
          <w:highlight w:val="none"/>
        </w:rPr>
        <w:t>高效转化</w:t>
      </w:r>
      <w:r>
        <w:rPr>
          <w:rFonts w:hint="eastAsia" w:ascii="仿宋_GB2312" w:hAnsi="仿宋_GB2312" w:eastAsia="仿宋_GB2312" w:cs="仿宋_GB2312"/>
          <w:color w:val="auto"/>
          <w:sz w:val="32"/>
          <w:szCs w:val="32"/>
          <w:highlight w:val="none"/>
          <w:lang w:eastAsia="zh-CN"/>
        </w:rPr>
        <w:t>利用</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开展天然气管道工程前期</w:t>
      </w:r>
      <w:r>
        <w:rPr>
          <w:rFonts w:hint="eastAsia" w:ascii="仿宋_GB2312" w:hAnsi="仿宋_GB2312" w:eastAsia="仿宋_GB2312" w:cs="仿宋_GB2312"/>
          <w:color w:val="auto"/>
          <w:sz w:val="32"/>
          <w:szCs w:val="32"/>
          <w:highlight w:val="none"/>
        </w:rPr>
        <w:t>等方面，主动对接自治区相关厅局，争取政策、资金和项目</w:t>
      </w:r>
      <w:r>
        <w:rPr>
          <w:rFonts w:hint="eastAsia" w:ascii="仿宋_GB2312" w:hAnsi="仿宋_GB2312" w:eastAsia="仿宋_GB2312" w:cs="仿宋_GB2312"/>
          <w:color w:val="auto"/>
          <w:sz w:val="32"/>
          <w:szCs w:val="32"/>
          <w:highlight w:val="none"/>
          <w:lang w:eastAsia="zh-CN"/>
        </w:rPr>
        <w:t>广泛</w:t>
      </w:r>
      <w:r>
        <w:rPr>
          <w:rFonts w:hint="eastAsia" w:ascii="仿宋_GB2312" w:hAnsi="仿宋_GB2312" w:eastAsia="仿宋_GB2312" w:cs="仿宋_GB2312"/>
          <w:color w:val="auto"/>
          <w:sz w:val="32"/>
          <w:szCs w:val="32"/>
          <w:highlight w:val="none"/>
        </w:rPr>
        <w:t>支持，确保各项政策措施落地见效，为工业转型升级注入强大动力。（责任单位</w:t>
      </w:r>
      <w:r>
        <w:rPr>
          <w:rFonts w:hint="eastAsia" w:ascii="仿宋_GB2312" w:hAnsi="仿宋_GB2312" w:eastAsia="仿宋_GB2312" w:cs="仿宋_GB2312"/>
          <w:color w:val="auto"/>
          <w:sz w:val="32"/>
          <w:szCs w:val="32"/>
          <w:highlight w:val="none"/>
          <w:lang w:val="en-US" w:eastAsia="zh-CN"/>
        </w:rPr>
        <w:t>及旗市区</w:t>
      </w:r>
      <w:r>
        <w:rPr>
          <w:rFonts w:hint="eastAsia" w:ascii="仿宋_GB2312" w:hAnsi="仿宋_GB2312" w:eastAsia="仿宋_GB2312" w:cs="仿宋_GB2312"/>
          <w:color w:val="auto"/>
          <w:sz w:val="32"/>
          <w:szCs w:val="32"/>
          <w:highlight w:val="none"/>
        </w:rPr>
        <w:t>：市工信局、</w:t>
      </w:r>
      <w:r>
        <w:rPr>
          <w:rFonts w:hint="eastAsia" w:ascii="仿宋_GB2312" w:hAnsi="仿宋_GB2312" w:eastAsia="仿宋_GB2312" w:cs="仿宋_GB2312"/>
          <w:color w:val="auto"/>
          <w:sz w:val="32"/>
          <w:szCs w:val="32"/>
          <w:highlight w:val="none"/>
          <w:lang w:eastAsia="zh-CN"/>
        </w:rPr>
        <w:t>发展改革委</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自然资源局、</w:t>
      </w:r>
      <w:r>
        <w:rPr>
          <w:rFonts w:hint="eastAsia" w:ascii="仿宋_GB2312" w:hAnsi="仿宋_GB2312" w:eastAsia="仿宋_GB2312" w:cs="仿宋_GB2312"/>
          <w:color w:val="auto"/>
          <w:sz w:val="32"/>
          <w:szCs w:val="32"/>
          <w:highlight w:val="none"/>
        </w:rPr>
        <w:t>能源局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经开区，各旗市区</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抢抓</w:t>
      </w:r>
      <w:r>
        <w:rPr>
          <w:rFonts w:hint="eastAsia" w:ascii="仿宋_GB2312" w:hAnsi="仿宋_GB2312" w:eastAsia="仿宋_GB2312" w:cs="仿宋_GB2312"/>
          <w:color w:val="auto"/>
          <w:sz w:val="32"/>
          <w:szCs w:val="32"/>
          <w:highlight w:val="none"/>
          <w:lang w:eastAsia="zh-CN"/>
        </w:rPr>
        <w:t>国家生态产品价值实现机制试点</w:t>
      </w:r>
      <w:r>
        <w:rPr>
          <w:rFonts w:hint="eastAsia" w:ascii="仿宋_GB2312" w:hAnsi="仿宋_GB2312" w:eastAsia="仿宋_GB2312" w:cs="仿宋_GB2312"/>
          <w:color w:val="auto"/>
          <w:sz w:val="32"/>
          <w:szCs w:val="32"/>
          <w:highlight w:val="none"/>
          <w:lang w:val="en-US" w:eastAsia="zh-CN"/>
        </w:rPr>
        <w:t>机遇。推进降碳增绿、以碳生金、减碳惠民等模式路径，聚焦生态系统固碳、市场机制融碳等重点领域，加强生态系统碳汇资源开发，拓宽碳汇市场化交易路径，落实碳排放权等资源环境要素市场化交易机制，创新光伏治沙等“生态保护修复</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lang w:val="en-US" w:eastAsia="zh-CN"/>
        </w:rPr>
        <w:t>可再生能源发展”模式，完善以商业激励、政策鼓励、减排量交易相结合的碳普惠机制。（责任单位：市发展改革委、生态环境局、统计局）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落细</w:t>
      </w:r>
      <w:r>
        <w:rPr>
          <w:rFonts w:hint="eastAsia" w:ascii="仿宋_GB2312" w:hAnsi="仿宋_GB2312" w:eastAsia="仿宋_GB2312" w:cs="仿宋_GB2312"/>
          <w:color w:val="auto"/>
          <w:sz w:val="32"/>
          <w:szCs w:val="32"/>
          <w:highlight w:val="none"/>
        </w:rPr>
        <w:t>绿色金融产品</w:t>
      </w:r>
      <w:r>
        <w:rPr>
          <w:rFonts w:hint="eastAsia" w:ascii="仿宋_GB2312" w:hAnsi="仿宋_GB2312" w:eastAsia="仿宋_GB2312" w:cs="仿宋_GB2312"/>
          <w:color w:val="auto"/>
          <w:sz w:val="32"/>
          <w:szCs w:val="32"/>
          <w:highlight w:val="none"/>
          <w:lang w:val="en-US" w:eastAsia="zh-CN"/>
        </w:rPr>
        <w:t>政策</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创新</w:t>
      </w:r>
      <w:r>
        <w:rPr>
          <w:rFonts w:hint="eastAsia" w:ascii="仿宋_GB2312" w:hAnsi="仿宋_GB2312" w:eastAsia="仿宋_GB2312" w:cs="仿宋_GB2312"/>
          <w:color w:val="auto"/>
          <w:sz w:val="32"/>
          <w:szCs w:val="32"/>
          <w:highlight w:val="none"/>
          <w:lang w:val="en-US" w:eastAsia="zh-CN"/>
        </w:rPr>
        <w:t>探索</w:t>
      </w:r>
      <w:r>
        <w:rPr>
          <w:rFonts w:hint="eastAsia" w:ascii="仿宋_GB2312" w:hAnsi="仿宋_GB2312" w:eastAsia="仿宋_GB2312" w:cs="仿宋_GB2312"/>
          <w:color w:val="auto"/>
          <w:sz w:val="32"/>
          <w:szCs w:val="32"/>
          <w:highlight w:val="none"/>
        </w:rPr>
        <w:t>碳资产质押贷款等绿色金融</w:t>
      </w:r>
      <w:r>
        <w:rPr>
          <w:rFonts w:hint="eastAsia" w:ascii="仿宋_GB2312" w:hAnsi="仿宋_GB2312" w:eastAsia="仿宋_GB2312" w:cs="仿宋_GB2312"/>
          <w:color w:val="auto"/>
          <w:sz w:val="32"/>
          <w:szCs w:val="32"/>
          <w:highlight w:val="none"/>
          <w:lang w:val="en-US" w:eastAsia="zh-CN"/>
        </w:rPr>
        <w:t>途径</w:t>
      </w:r>
      <w:r>
        <w:rPr>
          <w:rFonts w:hint="eastAsia" w:ascii="仿宋_GB2312" w:hAnsi="仿宋_GB2312" w:eastAsia="仿宋_GB2312" w:cs="仿宋_GB2312"/>
          <w:color w:val="auto"/>
          <w:sz w:val="32"/>
          <w:szCs w:val="32"/>
          <w:highlight w:val="none"/>
        </w:rPr>
        <w:t>，为企业提供多元化融资支持。组织银行、保险等金融机构创新绿色金融工具，推广碳资产质押贷款、环境权益抵质押融资、绿色信贷、绿色债券等产品，为企业绿色转型、环保改造、新能源项目建设提供资金支持。（</w:t>
      </w:r>
      <w:r>
        <w:rPr>
          <w:rFonts w:hint="eastAsia" w:ascii="仿宋_GB2312" w:hAnsi="仿宋_GB2312" w:eastAsia="仿宋_GB2312" w:cs="仿宋_GB2312"/>
          <w:color w:val="auto"/>
          <w:sz w:val="32"/>
          <w:szCs w:val="32"/>
          <w:highlight w:val="none"/>
          <w:lang w:val="en-US" w:eastAsia="zh-CN"/>
        </w:rPr>
        <w:t>责任单位：</w:t>
      </w:r>
      <w:r>
        <w:rPr>
          <w:rFonts w:hint="eastAsia" w:ascii="仿宋_GB2312" w:hAnsi="仿宋_GB2312" w:eastAsia="仿宋_GB2312" w:cs="仿宋_GB2312"/>
          <w:color w:val="auto"/>
          <w:sz w:val="32"/>
          <w:szCs w:val="32"/>
          <w:highlight w:val="none"/>
        </w:rPr>
        <w:t>市人民银行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金融监管</w:t>
      </w:r>
      <w:r>
        <w:rPr>
          <w:rFonts w:hint="eastAsia" w:ascii="仿宋_GB2312" w:hAnsi="仿宋_GB2312" w:eastAsia="仿宋_GB2312" w:cs="仿宋_GB2312"/>
          <w:color w:val="auto"/>
          <w:sz w:val="32"/>
          <w:szCs w:val="32"/>
          <w:highlight w:val="none"/>
          <w:lang w:val="en-US" w:eastAsia="zh-CN"/>
        </w:rPr>
        <w:t>分局</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rPr>
        <w:t>平台</w:t>
      </w:r>
      <w:r>
        <w:rPr>
          <w:rFonts w:hint="eastAsia" w:ascii="仿宋_GB2312" w:hAnsi="仿宋_GB2312" w:eastAsia="仿宋_GB2312" w:cs="仿宋_GB2312"/>
          <w:b/>
          <w:bCs/>
          <w:color w:val="auto"/>
          <w:sz w:val="32"/>
          <w:szCs w:val="32"/>
          <w:highlight w:val="none"/>
          <w:lang w:val="en-US" w:eastAsia="zh-CN"/>
        </w:rPr>
        <w:t>维度</w:t>
      </w:r>
      <w:r>
        <w:rPr>
          <w:rFonts w:hint="eastAsia" w:ascii="仿宋_GB2312" w:hAnsi="仿宋_GB2312" w:eastAsia="仿宋_GB2312" w:cs="仿宋_GB2312"/>
          <w:b/>
          <w:bCs/>
          <w:color w:val="auto"/>
          <w:sz w:val="32"/>
          <w:szCs w:val="32"/>
          <w:highlight w:val="none"/>
        </w:rPr>
        <w:t>赋能：园区提质与创新支撑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提升壮大经开区综合实力。持续推进区域一体化发展，强化片区协同联动，以零碳园区、碳达峰试点园区创建为引领，优化升级绿色能源化工、冶金新材料、装备制造、生物医药及现代服务业五大产业链，前瞻布局未来产业，推动深化“管委会</w:t>
      </w:r>
      <w:r>
        <w:rPr>
          <w:rFonts w:hint="eastAsia" w:ascii="宋体" w:hAnsi="宋体" w:eastAsia="宋体" w:cs="宋体"/>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公司”改革，激活园区发展内生动力，加快基础设施提档升级，持续优化营商环境，全面提高招商引资成效，不断增强产业承载能力，构建多点支撑的产业发展格局。</w:t>
      </w:r>
      <w:r>
        <w:rPr>
          <w:rFonts w:hint="eastAsia" w:ascii="仿宋_GB2312" w:hAnsi="仿宋_GB2312" w:eastAsia="仿宋_GB2312" w:cs="仿宋_GB2312"/>
          <w:color w:val="auto"/>
          <w:sz w:val="32"/>
          <w:szCs w:val="32"/>
          <w:highlight w:val="none"/>
          <w:lang w:eastAsia="zh-CN"/>
        </w:rPr>
        <w:t>（责任部门：</w:t>
      </w:r>
      <w:r>
        <w:rPr>
          <w:rFonts w:hint="eastAsia" w:ascii="仿宋_GB2312" w:hAnsi="仿宋_GB2312" w:eastAsia="仿宋_GB2312" w:cs="仿宋_GB2312"/>
          <w:color w:val="auto"/>
          <w:sz w:val="32"/>
          <w:szCs w:val="32"/>
          <w:highlight w:val="none"/>
          <w:lang w:val="en-US" w:eastAsia="zh-CN"/>
        </w:rPr>
        <w:t>经开区，市工信局、发展改革委、商务局、能源局）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聚力打造满洲里产业协作园区。结合自贸试验区满洲里片区建设，整合边境经济合作区、综保区、互贸区等区域，探索推进以满洲里产业协作园区为核心承载平台，创新“共建共享、优势互补”的飞地发展模式，推动项目集中、产业集聚、要素集约，构建区域联动、互利共赢的产业发展新格局。</w:t>
      </w:r>
      <w:r>
        <w:rPr>
          <w:rFonts w:hint="eastAsia" w:ascii="仿宋_GB2312" w:hAnsi="仿宋_GB2312" w:eastAsia="仿宋_GB2312" w:cs="仿宋_GB2312"/>
          <w:color w:val="auto"/>
          <w:sz w:val="32"/>
          <w:szCs w:val="32"/>
          <w:highlight w:val="none"/>
          <w:lang w:eastAsia="zh-CN"/>
        </w:rPr>
        <w:t>鼓励各旗市区、园区之间打破行政壁垒，按照“优势互补、自愿合作、利益共享”的原则，</w:t>
      </w:r>
      <w:r>
        <w:rPr>
          <w:rFonts w:hint="eastAsia" w:ascii="仿宋_GB2312" w:hAnsi="仿宋_GB2312" w:eastAsia="仿宋_GB2312" w:cs="仿宋_GB2312"/>
          <w:color w:val="auto"/>
          <w:sz w:val="32"/>
          <w:szCs w:val="32"/>
          <w:highlight w:val="none"/>
          <w:lang w:val="en-US" w:eastAsia="zh-CN"/>
        </w:rPr>
        <w:t>加大对产业协作园区的基础设施投入</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完善“口岸</w:t>
      </w:r>
      <w:r>
        <w:rPr>
          <w:rFonts w:hint="eastAsia" w:ascii="宋体" w:hAnsi="宋体" w:eastAsia="宋体" w:cs="宋体"/>
          <w:sz w:val="32"/>
          <w:szCs w:val="32"/>
          <w:lang w:val="en-US" w:eastAsia="zh-CN"/>
        </w:rPr>
        <w:t>＋</w:t>
      </w:r>
      <w:r>
        <w:rPr>
          <w:rFonts w:hint="default" w:ascii="仿宋_GB2312" w:hAnsi="仿宋_GB2312" w:eastAsia="仿宋_GB2312" w:cs="仿宋_GB2312"/>
          <w:color w:val="auto"/>
          <w:sz w:val="32"/>
          <w:szCs w:val="32"/>
          <w:highlight w:val="none"/>
        </w:rPr>
        <w:t>腹地”联动机制，</w:t>
      </w:r>
      <w:r>
        <w:rPr>
          <w:rFonts w:hint="eastAsia" w:ascii="仿宋_GB2312" w:hAnsi="仿宋_GB2312" w:eastAsia="仿宋_GB2312" w:cs="仿宋_GB2312"/>
          <w:color w:val="auto"/>
          <w:sz w:val="32"/>
          <w:szCs w:val="32"/>
          <w:highlight w:val="none"/>
          <w:lang w:val="en-US" w:eastAsia="zh-CN"/>
        </w:rPr>
        <w:t>推进满扎一体化发展，</w:t>
      </w:r>
      <w:r>
        <w:rPr>
          <w:rFonts w:hint="default" w:ascii="仿宋_GB2312" w:hAnsi="仿宋_GB2312" w:eastAsia="仿宋_GB2312" w:cs="仿宋_GB2312"/>
          <w:color w:val="auto"/>
          <w:sz w:val="32"/>
          <w:szCs w:val="32"/>
          <w:highlight w:val="none"/>
        </w:rPr>
        <w:t>实现进口煤炭、</w:t>
      </w:r>
      <w:r>
        <w:rPr>
          <w:rFonts w:hint="eastAsia" w:ascii="仿宋_GB2312" w:hAnsi="仿宋_GB2312" w:eastAsia="仿宋_GB2312" w:cs="仿宋_GB2312"/>
          <w:color w:val="auto"/>
          <w:sz w:val="32"/>
          <w:szCs w:val="32"/>
          <w:highlight w:val="none"/>
          <w:lang w:val="en-US" w:eastAsia="zh-CN"/>
        </w:rPr>
        <w:t>液化石油气</w:t>
      </w:r>
      <w:r>
        <w:rPr>
          <w:rFonts w:hint="default" w:ascii="仿宋_GB2312" w:hAnsi="仿宋_GB2312" w:eastAsia="仿宋_GB2312" w:cs="仿宋_GB2312"/>
          <w:color w:val="auto"/>
          <w:sz w:val="32"/>
          <w:szCs w:val="32"/>
          <w:highlight w:val="none"/>
        </w:rPr>
        <w:t>、矿石等资源园区加工后向腹地分销，推动口岸经济从</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通道</w:t>
      </w:r>
      <w:r>
        <w:rPr>
          <w:rFonts w:hint="eastAsia" w:ascii="仿宋_GB2312" w:hAnsi="仿宋_GB2312" w:eastAsia="仿宋_GB2312" w:cs="仿宋_GB2312"/>
          <w:color w:val="auto"/>
          <w:sz w:val="32"/>
          <w:szCs w:val="32"/>
          <w:highlight w:val="none"/>
          <w:lang w:val="en-US" w:eastAsia="zh-CN"/>
        </w:rPr>
        <w:t>经济</w:t>
      </w:r>
      <w:r>
        <w:rPr>
          <w:rFonts w:hint="default" w:ascii="仿宋_GB2312" w:hAnsi="仿宋_GB2312" w:eastAsia="仿宋_GB2312" w:cs="仿宋_GB2312"/>
          <w:color w:val="auto"/>
          <w:sz w:val="32"/>
          <w:szCs w:val="32"/>
          <w:highlight w:val="none"/>
        </w:rPr>
        <w:t>”向“</w:t>
      </w:r>
      <w:r>
        <w:rPr>
          <w:rFonts w:hint="eastAsia" w:ascii="仿宋_GB2312" w:hAnsi="仿宋_GB2312" w:eastAsia="仿宋_GB2312" w:cs="仿宋_GB2312"/>
          <w:color w:val="auto"/>
          <w:sz w:val="32"/>
          <w:szCs w:val="32"/>
          <w:highlight w:val="none"/>
          <w:lang w:val="en-US" w:eastAsia="zh-CN"/>
        </w:rPr>
        <w:t>落地经济</w:t>
      </w:r>
      <w:r>
        <w:rPr>
          <w:rFonts w:hint="default" w:ascii="仿宋_GB2312" w:hAnsi="仿宋_GB2312" w:eastAsia="仿宋_GB2312" w:cs="仿宋_GB2312"/>
          <w:color w:val="auto"/>
          <w:sz w:val="32"/>
          <w:szCs w:val="32"/>
          <w:highlight w:val="none"/>
        </w:rPr>
        <w:t>”转型。</w:t>
      </w:r>
      <w:r>
        <w:rPr>
          <w:rFonts w:hint="eastAsia" w:ascii="仿宋_GB2312" w:hAnsi="仿宋_GB2312" w:eastAsia="仿宋_GB2312" w:cs="仿宋_GB2312"/>
          <w:color w:val="auto"/>
          <w:sz w:val="32"/>
          <w:szCs w:val="32"/>
          <w:highlight w:val="none"/>
        </w:rPr>
        <w:t>（责任单位及旗市区：满洲里市，市</w:t>
      </w:r>
      <w:r>
        <w:rPr>
          <w:rFonts w:hint="eastAsia" w:ascii="仿宋_GB2312" w:hAnsi="仿宋_GB2312" w:eastAsia="仿宋_GB2312" w:cs="仿宋_GB2312"/>
          <w:color w:val="auto"/>
          <w:sz w:val="32"/>
          <w:szCs w:val="32"/>
          <w:highlight w:val="none"/>
          <w:lang w:eastAsia="zh-CN"/>
        </w:rPr>
        <w:t>发展改革委</w:t>
      </w:r>
      <w:r>
        <w:rPr>
          <w:rFonts w:hint="eastAsia" w:ascii="仿宋_GB2312" w:hAnsi="仿宋_GB2312" w:eastAsia="仿宋_GB2312" w:cs="仿宋_GB2312"/>
          <w:color w:val="auto"/>
          <w:sz w:val="32"/>
          <w:szCs w:val="32"/>
          <w:highlight w:val="none"/>
        </w:rPr>
        <w:t>、工信局、</w:t>
      </w:r>
      <w:r>
        <w:rPr>
          <w:rFonts w:hint="eastAsia" w:ascii="仿宋_GB2312" w:hAnsi="仿宋_GB2312" w:eastAsia="仿宋_GB2312" w:cs="仿宋_GB2312"/>
          <w:color w:val="auto"/>
          <w:sz w:val="32"/>
          <w:szCs w:val="32"/>
          <w:highlight w:val="none"/>
          <w:lang w:eastAsia="zh-CN"/>
        </w:rPr>
        <w:t>财政局，经开区，各旗市区，</w:t>
      </w:r>
      <w:r>
        <w:rPr>
          <w:rFonts w:hint="eastAsia" w:ascii="仿宋_GB2312" w:hAnsi="仿宋_GB2312" w:eastAsia="仿宋_GB2312" w:cs="仿宋_GB2312"/>
          <w:color w:val="auto"/>
          <w:sz w:val="32"/>
          <w:szCs w:val="32"/>
          <w:highlight w:val="none"/>
          <w:lang w:val="en-US" w:eastAsia="zh-CN"/>
        </w:rPr>
        <w:t>陆港集团</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提升园区基础设施水平。扎实推进工业园区“基础设施补短板”建设，持续完善道路、给排水、供电、供热、燃气、通信、物流等核心配套设施，大幅提升承载能力。强化安全环保、应急救援能力建设，全面保障企业生产经营需求；加速园区数字化转型进程，强化智慧园区平台功能与运行维护，以数字化手段提升园区综合管理效能和精准服务水平，</w:t>
      </w:r>
      <w:r>
        <w:rPr>
          <w:rFonts w:hint="eastAsia" w:ascii="仿宋_GB2312" w:hAnsi="仿宋_GB2312" w:eastAsia="仿宋_GB2312" w:cs="仿宋_GB2312"/>
          <w:color w:val="auto"/>
          <w:sz w:val="32"/>
          <w:szCs w:val="32"/>
          <w:highlight w:val="none"/>
        </w:rPr>
        <w:t>构建服务功能完备、产业结构合理、特色产业集聚、体制机制健全的</w:t>
      </w:r>
      <w:r>
        <w:rPr>
          <w:rFonts w:hint="eastAsia" w:ascii="仿宋_GB2312" w:hAnsi="仿宋_GB2312" w:eastAsia="仿宋_GB2312" w:cs="仿宋_GB2312"/>
          <w:color w:val="auto"/>
          <w:sz w:val="32"/>
          <w:szCs w:val="32"/>
          <w:highlight w:val="none"/>
          <w:lang w:eastAsia="zh-CN"/>
        </w:rPr>
        <w:t>工业</w:t>
      </w:r>
      <w:r>
        <w:rPr>
          <w:rFonts w:hint="eastAsia" w:ascii="仿宋_GB2312" w:hAnsi="仿宋_GB2312" w:eastAsia="仿宋_GB2312" w:cs="仿宋_GB2312"/>
          <w:color w:val="auto"/>
          <w:sz w:val="32"/>
          <w:szCs w:val="32"/>
          <w:highlight w:val="none"/>
        </w:rPr>
        <w:t>园区体系</w:t>
      </w:r>
      <w:r>
        <w:rPr>
          <w:rFonts w:hint="eastAsia" w:ascii="仿宋_GB2312" w:hAnsi="仿宋_GB2312" w:eastAsia="仿宋_GB2312" w:cs="仿宋_GB2312"/>
          <w:color w:val="auto"/>
          <w:sz w:val="32"/>
          <w:szCs w:val="32"/>
          <w:highlight w:val="none"/>
          <w:lang w:val="en-US" w:eastAsia="zh-CN"/>
        </w:rPr>
        <w:t>。（责任单位及旗市区：市工信局、应急管理局、通管办，经开区，各旗市区）</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3.</w:t>
      </w:r>
      <w:r>
        <w:rPr>
          <w:rFonts w:hint="eastAsia" w:ascii="仿宋_GB2312" w:hAnsi="仿宋_GB2312" w:eastAsia="仿宋_GB2312" w:cs="仿宋_GB2312"/>
          <w:b/>
          <w:bCs/>
          <w:color w:val="auto"/>
          <w:sz w:val="32"/>
          <w:szCs w:val="32"/>
          <w:highlight w:val="none"/>
        </w:rPr>
        <w:t>机制</w:t>
      </w:r>
      <w:r>
        <w:rPr>
          <w:rFonts w:hint="eastAsia" w:ascii="仿宋_GB2312" w:hAnsi="仿宋_GB2312" w:eastAsia="仿宋_GB2312" w:cs="仿宋_GB2312"/>
          <w:b/>
          <w:bCs/>
          <w:color w:val="auto"/>
          <w:sz w:val="32"/>
          <w:szCs w:val="32"/>
          <w:highlight w:val="none"/>
          <w:lang w:val="en-US" w:eastAsia="zh-CN"/>
        </w:rPr>
        <w:t>维度</w:t>
      </w:r>
      <w:r>
        <w:rPr>
          <w:rFonts w:hint="eastAsia" w:ascii="仿宋_GB2312" w:hAnsi="仿宋_GB2312" w:eastAsia="仿宋_GB2312" w:cs="仿宋_GB2312"/>
          <w:b/>
          <w:bCs/>
          <w:color w:val="auto"/>
          <w:sz w:val="32"/>
          <w:szCs w:val="32"/>
          <w:highlight w:val="none"/>
        </w:rPr>
        <w:t>赋能：协同联动与活力激发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构建“规划—项目—落地”动态衔接机制。以《呼伦贝尔市“十五五”新型工业化规划》为引领，以《呼伦贝尔市重点项目滚动式调度推进运行机制》为抓手，对工业项目库实施“成熟一批、开工一批、储备一批”的梯次动态管理。在项目建设上，结合实际谋划，坚持市场导向，避免造成闲置浪费。每年一季度集中开展项目库评估更新与优化，力促在库项目加快建设进度、形成有效实物工作量，推动尽早实现竣工投产；督促拟建项目压茬推进前期手续办理，保障上半年实现开工、纳统目标；指导在谋项目深化可行性论证、做实做细建设方案，确保年内实质性开展前期手续办理。（责任单位及旗市区：市工信局、发展改革委、能源局，经开区，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理顺项目手续办理规程。聚焦</w:t>
      </w:r>
      <w:r>
        <w:rPr>
          <w:rFonts w:hint="eastAsia" w:ascii="仿宋_GB2312" w:hAnsi="仿宋_GB2312" w:eastAsia="仿宋_GB2312" w:cs="仿宋_GB2312"/>
          <w:color w:val="auto"/>
          <w:sz w:val="32"/>
          <w:szCs w:val="32"/>
          <w:highlight w:val="none"/>
        </w:rPr>
        <w:t>重点产业项目，强化用地指标、能耗配额、环评审批、电网接入、水资源论证、林地征占等关键要素保障，推行清单化管理；全面</w:t>
      </w:r>
      <w:r>
        <w:rPr>
          <w:rFonts w:hint="eastAsia" w:ascii="仿宋_GB2312" w:hAnsi="仿宋_GB2312" w:eastAsia="仿宋_GB2312" w:cs="仿宋_GB2312"/>
          <w:color w:val="auto"/>
          <w:sz w:val="32"/>
          <w:szCs w:val="32"/>
          <w:highlight w:val="none"/>
          <w:lang w:val="en-US" w:eastAsia="zh-CN"/>
        </w:rPr>
        <w:t>落实</w:t>
      </w:r>
      <w:r>
        <w:rPr>
          <w:rFonts w:hint="eastAsia" w:ascii="仿宋_GB2312" w:hAnsi="仿宋_GB2312" w:eastAsia="仿宋_GB2312" w:cs="仿宋_GB2312"/>
          <w:color w:val="auto"/>
          <w:sz w:val="32"/>
          <w:szCs w:val="32"/>
          <w:highlight w:val="none"/>
        </w:rPr>
        <w:t>“证照联办”</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并联审批”模式，严格落实审批事项负面清单管理，推行容缺受理、告知承诺制，最大限度简化审批流程、压缩办理时限，为平台融合升级、项目早落地、早开工、早见效提供坚实制度保障和高效服务支撑。（责任单位及旗市区：市</w:t>
      </w:r>
      <w:r>
        <w:rPr>
          <w:rFonts w:hint="eastAsia" w:ascii="仿宋_GB2312" w:hAnsi="仿宋_GB2312" w:eastAsia="仿宋_GB2312" w:cs="仿宋_GB2312"/>
          <w:color w:val="auto"/>
          <w:sz w:val="32"/>
          <w:szCs w:val="32"/>
          <w:highlight w:val="none"/>
          <w:lang w:eastAsia="zh-CN"/>
        </w:rPr>
        <w:t>发展改</w:t>
      </w:r>
      <w:r>
        <w:rPr>
          <w:rFonts w:hint="eastAsia" w:ascii="仿宋_GB2312" w:hAnsi="仿宋_GB2312" w:eastAsia="仿宋_GB2312" w:cs="仿宋_GB2312"/>
          <w:color w:val="auto"/>
          <w:w w:val="97"/>
          <w:sz w:val="32"/>
          <w:szCs w:val="32"/>
          <w:highlight w:val="none"/>
          <w:lang w:eastAsia="zh-CN"/>
        </w:rPr>
        <w:t>革委</w:t>
      </w:r>
      <w:r>
        <w:rPr>
          <w:rFonts w:hint="eastAsia" w:ascii="仿宋_GB2312" w:hAnsi="仿宋_GB2312" w:eastAsia="仿宋_GB2312" w:cs="仿宋_GB2312"/>
          <w:color w:val="auto"/>
          <w:w w:val="97"/>
          <w:sz w:val="32"/>
          <w:szCs w:val="32"/>
          <w:highlight w:val="none"/>
        </w:rPr>
        <w:t>、政数局、自然资源局、生态环境局，各旗市区）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default" w:ascii="仿宋_GB2312" w:hAnsi="仿宋_GB2312" w:eastAsia="仿宋_GB2312" w:cs="仿宋_GB2312"/>
          <w:color w:val="auto"/>
          <w:sz w:val="32"/>
          <w:szCs w:val="32"/>
          <w:highlight w:val="green"/>
          <w:lang w:val="en-US" w:eastAsia="zh-CN"/>
        </w:rPr>
      </w:pPr>
      <w:r>
        <w:rPr>
          <w:rFonts w:hint="eastAsia" w:ascii="仿宋_GB2312" w:hAnsi="仿宋_GB2312" w:eastAsia="仿宋_GB2312" w:cs="仿宋_GB2312"/>
          <w:color w:val="auto"/>
          <w:sz w:val="32"/>
          <w:szCs w:val="32"/>
          <w:highlight w:val="none"/>
          <w:lang w:val="en-US" w:eastAsia="zh-CN"/>
        </w:rPr>
        <w:t>（3）深化开发区管理制度改革。以深化“管委会</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lang w:val="en-US" w:eastAsia="zh-CN"/>
        </w:rPr>
        <w:t>公司”</w:t>
      </w:r>
      <w:r>
        <w:rPr>
          <w:rFonts w:hint="eastAsia" w:ascii="仿宋_GB2312" w:hAnsi="仿宋_GB2312" w:eastAsia="仿宋_GB2312" w:cs="仿宋_GB2312"/>
          <w:color w:val="auto"/>
          <w:sz w:val="32"/>
          <w:szCs w:val="32"/>
          <w:highlight w:val="none"/>
        </w:rPr>
        <w:t>改革</w:t>
      </w:r>
      <w:r>
        <w:rPr>
          <w:rFonts w:hint="eastAsia" w:ascii="仿宋_GB2312" w:hAnsi="仿宋_GB2312" w:eastAsia="仿宋_GB2312" w:cs="仿宋_GB2312"/>
          <w:color w:val="auto"/>
          <w:sz w:val="32"/>
          <w:szCs w:val="32"/>
          <w:highlight w:val="none"/>
          <w:lang w:val="en-US" w:eastAsia="zh-CN"/>
        </w:rPr>
        <w:t>为抓手，全面压实共建产业园职责、明确统计管理方式，理顺管理机制，提升经开区管理效能。</w:t>
      </w:r>
      <w:r>
        <w:rPr>
          <w:rFonts w:hint="eastAsia" w:ascii="仿宋_GB2312" w:hAnsi="仿宋_GB2312" w:eastAsia="仿宋_GB2312" w:cs="仿宋_GB2312"/>
          <w:color w:val="auto"/>
          <w:sz w:val="32"/>
          <w:szCs w:val="32"/>
          <w:highlight w:val="none"/>
          <w:lang w:eastAsia="zh-CN"/>
        </w:rPr>
        <w:t>健全跨部门协同联动机制，打破层级壁垒与条块分割，构建权责清晰、运转高效、务实</w:t>
      </w:r>
      <w:r>
        <w:rPr>
          <w:rFonts w:hint="eastAsia" w:ascii="仿宋_GB2312" w:hAnsi="仿宋_GB2312" w:eastAsia="仿宋_GB2312" w:cs="仿宋_GB2312"/>
          <w:color w:val="auto"/>
          <w:sz w:val="32"/>
          <w:szCs w:val="32"/>
          <w:highlight w:val="none"/>
          <w:lang w:val="en-US" w:eastAsia="zh-CN"/>
        </w:rPr>
        <w:t>管用的全流程服务体系，进一步提高项目落地、建设、竣工全流程服务质效，切实优化经开区营商环境，全面激发经开区内生发展活力。坚持规划引领、功能互补、错位发展原则，科学编制开发区总体发展规划和各园区专项产业布局方案，强化统一规划管控和资源统筹配置。重点推动经开区与综合保税区、海拉尔区在产业协同、基础设施互联互通等方面实现一体化发展。推动开发区与城市建成区功能耦合、产城融合，实现经开区“一区六园”从物理聚合向化学融合转变，从“园区孤岛”向“产城一体”转型，为区域高质量发展注入强劲动能。</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责任单位及旗市区：经开区，市工信局，相关旗市区）</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default"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4.科技维度赋能：创新驱动与数智引领</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（1）加强创新主体梯度培育。</w:t>
      </w:r>
      <w:r>
        <w:rPr>
          <w:rFonts w:hint="eastAsia" w:ascii="仿宋_GB2312" w:hAnsi="仿宋_GB2312" w:eastAsia="仿宋_GB2312" w:cs="仿宋_GB2312"/>
          <w:b w:val="0"/>
          <w:bCs w:val="0"/>
          <w:color w:val="auto"/>
          <w:sz w:val="32"/>
          <w:szCs w:val="32"/>
          <w:highlight w:val="none"/>
          <w:lang w:val="en-US" w:eastAsia="zh-CN"/>
        </w:rPr>
        <w:t>坚持做好优质中</w:t>
      </w:r>
      <w:r>
        <w:rPr>
          <w:rFonts w:hint="eastAsia" w:ascii="仿宋_GB2312" w:hAnsi="仿宋_GB2312" w:eastAsia="仿宋_GB2312" w:cs="仿宋_GB2312"/>
          <w:color w:val="auto"/>
          <w:sz w:val="32"/>
          <w:szCs w:val="32"/>
          <w:highlight w:val="none"/>
          <w:lang w:val="en-US" w:eastAsia="zh-CN"/>
        </w:rPr>
        <w:t>小企业梯度培育工作，</w:t>
      </w:r>
      <w:r>
        <w:rPr>
          <w:rFonts w:hint="eastAsia" w:ascii="仿宋_GB2312" w:hAnsi="仿宋_GB2312" w:eastAsia="仿宋_GB2312" w:cs="仿宋_GB2312"/>
          <w:color w:val="auto"/>
          <w:kern w:val="2"/>
          <w:sz w:val="32"/>
          <w:szCs w:val="24"/>
          <w:highlight w:val="none"/>
          <w:lang w:val="en-US" w:eastAsia="zh-CN" w:bidi="ar-SA"/>
        </w:rPr>
        <w:t>积极引导企业走“专精特新”发展之路，鼓励企业应申尽申，促进政策应享尽享，培育新增优质中小企业15户左右，支持引导科技型、创新型</w:t>
      </w:r>
      <w:r>
        <w:rPr>
          <w:rFonts w:hint="eastAsia" w:ascii="仿宋_GB2312" w:hAnsi="仿宋_GB2312" w:eastAsia="仿宋_GB2312" w:cs="仿宋_GB2312"/>
          <w:color w:val="auto"/>
          <w:sz w:val="32"/>
          <w:szCs w:val="32"/>
          <w:highlight w:val="none"/>
          <w:lang w:val="en-US" w:eastAsia="zh-CN"/>
        </w:rPr>
        <w:t>和“专精特新”企业向“小巨人”企业迈进。促进关键技术落地转化与产业协同创新能力持续提升，逐步通过科技创新手段</w:t>
      </w:r>
      <w:r>
        <w:rPr>
          <w:rFonts w:hint="eastAsia" w:ascii="仿宋_GB2312" w:hAnsi="仿宋_GB2312" w:eastAsia="仿宋_GB2312" w:cs="仿宋_GB2312"/>
          <w:color w:val="auto"/>
          <w:sz w:val="32"/>
          <w:szCs w:val="32"/>
          <w:highlight w:val="none"/>
        </w:rPr>
        <w:t>完善产业链配套，提升</w:t>
      </w:r>
      <w:r>
        <w:rPr>
          <w:rFonts w:hint="eastAsia" w:ascii="仿宋_GB2312" w:hAnsi="仿宋_GB2312" w:eastAsia="仿宋_GB2312" w:cs="仿宋_GB2312"/>
          <w:color w:val="auto"/>
          <w:sz w:val="32"/>
          <w:szCs w:val="32"/>
          <w:highlight w:val="none"/>
          <w:lang w:val="en-US" w:eastAsia="zh-CN"/>
        </w:rPr>
        <w:t>市域</w:t>
      </w:r>
      <w:r>
        <w:rPr>
          <w:rFonts w:hint="eastAsia" w:ascii="仿宋_GB2312" w:hAnsi="仿宋_GB2312" w:eastAsia="仿宋_GB2312" w:cs="仿宋_GB2312"/>
          <w:color w:val="auto"/>
          <w:sz w:val="32"/>
          <w:szCs w:val="32"/>
          <w:highlight w:val="none"/>
        </w:rPr>
        <w:t>产业整体竞争力。</w:t>
      </w:r>
      <w:r>
        <w:rPr>
          <w:rFonts w:hint="eastAsia" w:ascii="仿宋_GB2312" w:hAnsi="仿宋_GB2312" w:eastAsia="仿宋_GB2312" w:cs="仿宋_GB2312"/>
          <w:color w:val="auto"/>
          <w:sz w:val="32"/>
          <w:szCs w:val="32"/>
          <w:highlight w:val="none"/>
          <w:lang w:val="en-US" w:eastAsia="zh-CN"/>
        </w:rPr>
        <w:t>抓好小升规梯度培育，健全工业企业培育库，聚焦重点企业生产经营状况，推动尽早升规纳统。（责任部门及旗市区：市工信局、科技局、统计局，各旗市区）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积极构建多层次创新平台。支持企业与高校、科研院所合作共建重点实验室等创新平台，集中开展关键核心技术攻关与成果产业化；鼓励企业牵头组建创新联合体，有效整合产业链创新资源，持续提升产业整体创新能力。谋划建设国家极冷资源科学中心。加快构建覆盖全季节、全场景测试服务体系，推动高寒整车测试等项目落户呼伦贝尔。（责任部门：市科技局、发展改革委、工信局、教育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深化产业数字化转型与智能化升级。瞄准未来产业发展，加快工业互联网、智慧园区等数字平台建设，推动企业生产、管理等数据互联互通；持续深化“两化融合”，推广人工智能、智能装备等新技术应用，推动企业数字化、智能化改造；实施“人工智能＋”行动，梯度培育智能工厂，以数字经济赋能装备制造、能源、化工等传统产业转型升级。扩大</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val="en-US" w:eastAsia="zh-CN" w:bidi="ar-SA"/>
        </w:rPr>
        <w:t>电动无人矿卡工业应用场景，</w:t>
      </w:r>
      <w:r>
        <w:rPr>
          <w:rFonts w:hint="eastAsia" w:ascii="仿宋_GB2312" w:hAnsi="仿宋_GB2312" w:eastAsia="仿宋_GB2312" w:cs="仿宋_GB2312"/>
          <w:color w:val="auto"/>
          <w:sz w:val="32"/>
          <w:szCs w:val="32"/>
          <w:highlight w:val="none"/>
          <w:lang w:val="en-US" w:eastAsia="zh-CN"/>
        </w:rPr>
        <w:t>支持华能伊敏提升</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eastAsia="zh-CN" w:bidi="ar-SA"/>
        </w:rPr>
        <w:t>电动矿卡</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val="en-US" w:eastAsia="zh-CN" w:bidi="ar-SA"/>
        </w:rPr>
        <w:t>使用规模，鼓励国能宝日希勒</w:t>
      </w:r>
      <w:r>
        <w:rPr>
          <w:rFonts w:hint="eastAsia" w:ascii="仿宋_GB2312" w:hAnsi="仿宋_GB2312" w:eastAsia="仿宋_GB2312" w:cs="仿宋_GB2312"/>
          <w:color w:val="auto"/>
          <w:sz w:val="32"/>
          <w:szCs w:val="32"/>
          <w:highlight w:val="none"/>
          <w:lang w:val="en-US" w:eastAsia="zh-CN"/>
        </w:rPr>
        <w:t>、中国黄金内蒙古矿业开展试验</w:t>
      </w:r>
      <w:r>
        <w:rPr>
          <w:rFonts w:hint="eastAsia" w:ascii="仿宋_GB2312" w:hAnsi="仿宋_GB2312" w:eastAsia="仿宋_GB2312" w:cs="仿宋_GB2312"/>
          <w:b w:val="0"/>
          <w:bCs w:val="0"/>
          <w:strike w:val="0"/>
          <w:dstrike w:val="0"/>
          <w:color w:val="auto"/>
          <w:spacing w:val="0"/>
          <w:w w:val="100"/>
          <w:sz w:val="32"/>
          <w:szCs w:val="32"/>
          <w:highlight w:val="none"/>
          <w:u w:val="none" w:color="auto"/>
          <w:lang w:eastAsia="zh-CN" w:bidi="ar-SA"/>
        </w:rPr>
        <w:t>应用。</w:t>
      </w:r>
      <w:r>
        <w:rPr>
          <w:rFonts w:hint="eastAsia" w:ascii="仿宋_GB2312" w:hAnsi="仿宋_GB2312" w:eastAsia="仿宋_GB2312" w:cs="仿宋_GB2312"/>
          <w:color w:val="auto"/>
          <w:sz w:val="32"/>
          <w:szCs w:val="32"/>
          <w:highlight w:val="none"/>
          <w:lang w:val="en-US" w:eastAsia="zh-CN"/>
        </w:rPr>
        <w:t>谋划发展大数据存储产业、大数据加工处理产业，推动工业领域专题数据库建设，赋能产业发展。（责任部门及旗市区：市工信局、政数局、发展改革委、能源局，各旗市区）</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jc w:val="both"/>
        <w:textAlignment w:val="auto"/>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（三）优化空间布局，构建工业经济“一廊四区”产业协同发展格局</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一是“一廊引领”：沿滨洲铁路新型工业化发展廊。</w:t>
      </w:r>
      <w:r>
        <w:rPr>
          <w:rFonts w:hint="eastAsia" w:ascii="仿宋_GB2312" w:hAnsi="仿宋_GB2312" w:eastAsia="仿宋_GB2312" w:cs="仿宋_GB2312"/>
          <w:color w:val="auto"/>
          <w:sz w:val="32"/>
          <w:szCs w:val="32"/>
          <w:highlight w:val="none"/>
          <w:lang w:val="en-US" w:eastAsia="zh-CN"/>
        </w:rPr>
        <w:t>以滨洲铁路为核心空间轴线，构建全市工业经济空间布局的引领性廊道。严格遵循“生态优先、绿色发展、点状开发、面上保护”原则，聚焦在沿线的9个工业园区布局工业项目，促进各园区在空间上的串联整合与资源集聚，推动发展与保护协同推进，打造支撑全市工业经济高质量发展的核心增长极。</w:t>
      </w:r>
    </w:p>
    <w:p>
      <w:pPr>
        <w:keepNext w:val="0"/>
        <w:keepLines w:val="0"/>
        <w:pageBreakBefore w:val="0"/>
        <w:widowControl w:val="0"/>
        <w:kinsoku/>
        <w:wordWrap/>
        <w:overflowPunct/>
        <w:topLinePunct w:val="0"/>
        <w:autoSpaceDE/>
        <w:autoSpaceDN/>
        <w:bidi w:val="0"/>
        <w:adjustRightInd/>
        <w:snapToGrid/>
        <w:spacing w:before="0" w:after="0" w:line="576" w:lineRule="exact"/>
        <w:ind w:firstLine="642"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二是“四区联动”：</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中心城区</w:t>
      </w:r>
      <w:r>
        <w:rPr>
          <w:rFonts w:hint="eastAsia" w:ascii="仿宋_GB2312" w:hAnsi="仿宋_GB2312" w:eastAsia="仿宋_GB2312" w:cs="仿宋_GB2312"/>
          <w:color w:val="auto"/>
          <w:sz w:val="32"/>
          <w:szCs w:val="32"/>
          <w:highlight w:val="none"/>
          <w:lang w:val="en-US" w:eastAsia="zh-CN"/>
        </w:rPr>
        <w:t>冶炼加工</w:t>
      </w:r>
      <w:r>
        <w:rPr>
          <w:rFonts w:hint="eastAsia" w:ascii="仿宋_GB2312" w:hAnsi="仿宋_GB2312" w:eastAsia="仿宋_GB2312" w:cs="仿宋_GB2312"/>
          <w:color w:val="auto"/>
          <w:sz w:val="32"/>
          <w:szCs w:val="32"/>
          <w:highlight w:val="none"/>
        </w:rPr>
        <w:t>与</w:t>
      </w:r>
      <w:r>
        <w:rPr>
          <w:rFonts w:hint="eastAsia" w:ascii="仿宋_GB2312" w:hAnsi="仿宋_GB2312" w:eastAsia="仿宋_GB2312" w:cs="仿宋_GB2312"/>
          <w:color w:val="auto"/>
          <w:sz w:val="32"/>
          <w:szCs w:val="32"/>
          <w:highlight w:val="none"/>
          <w:lang w:val="en-US" w:eastAsia="zh-CN"/>
        </w:rPr>
        <w:t>农副食品加工</w:t>
      </w:r>
      <w:r>
        <w:rPr>
          <w:rFonts w:hint="eastAsia" w:ascii="仿宋_GB2312" w:hAnsi="仿宋_GB2312" w:eastAsia="仿宋_GB2312" w:cs="仿宋_GB2312"/>
          <w:color w:val="auto"/>
          <w:sz w:val="32"/>
          <w:szCs w:val="32"/>
          <w:highlight w:val="none"/>
        </w:rPr>
        <w:t>引领区：以</w:t>
      </w:r>
      <w:r>
        <w:rPr>
          <w:rFonts w:hint="eastAsia" w:ascii="仿宋_GB2312" w:hAnsi="仿宋_GB2312" w:eastAsia="仿宋_GB2312" w:cs="仿宋_GB2312"/>
          <w:color w:val="auto"/>
          <w:sz w:val="32"/>
          <w:szCs w:val="32"/>
          <w:highlight w:val="none"/>
          <w:lang w:val="en-US" w:eastAsia="zh-CN"/>
        </w:rPr>
        <w:t>经开区、</w:t>
      </w:r>
      <w:r>
        <w:rPr>
          <w:rFonts w:hint="eastAsia" w:ascii="仿宋_GB2312" w:hAnsi="仿宋_GB2312" w:eastAsia="仿宋_GB2312" w:cs="仿宋_GB2312"/>
          <w:color w:val="auto"/>
          <w:sz w:val="32"/>
          <w:szCs w:val="32"/>
          <w:highlight w:val="none"/>
        </w:rPr>
        <w:t>海拉尔</w:t>
      </w:r>
      <w:r>
        <w:rPr>
          <w:rFonts w:hint="eastAsia" w:ascii="仿宋_GB2312" w:hAnsi="仿宋_GB2312" w:eastAsia="仿宋_GB2312" w:cs="仿宋_GB2312"/>
          <w:color w:val="auto"/>
          <w:sz w:val="32"/>
          <w:szCs w:val="32"/>
          <w:highlight w:val="none"/>
          <w:lang w:eastAsia="zh-CN"/>
        </w:rPr>
        <w:t>区</w:t>
      </w:r>
      <w:r>
        <w:rPr>
          <w:rFonts w:hint="eastAsia" w:ascii="仿宋_GB2312" w:hAnsi="仿宋_GB2312" w:eastAsia="仿宋_GB2312" w:cs="仿宋_GB2312"/>
          <w:color w:val="auto"/>
          <w:sz w:val="32"/>
          <w:szCs w:val="32"/>
          <w:highlight w:val="none"/>
        </w:rPr>
        <w:t>、鄂温克旗为</w:t>
      </w:r>
      <w:r>
        <w:rPr>
          <w:rFonts w:hint="eastAsia" w:ascii="仿宋_GB2312" w:hAnsi="仿宋_GB2312" w:eastAsia="仿宋_GB2312" w:cs="仿宋_GB2312"/>
          <w:color w:val="auto"/>
          <w:sz w:val="32"/>
          <w:szCs w:val="32"/>
          <w:highlight w:val="none"/>
          <w:lang w:val="en-US" w:eastAsia="zh-CN"/>
        </w:rPr>
        <w:t>主</w:t>
      </w:r>
      <w:r>
        <w:rPr>
          <w:rFonts w:hint="eastAsia" w:ascii="仿宋_GB2312" w:hAnsi="仿宋_GB2312" w:eastAsia="仿宋_GB2312" w:cs="仿宋_GB2312"/>
          <w:color w:val="auto"/>
          <w:sz w:val="32"/>
          <w:szCs w:val="32"/>
          <w:highlight w:val="none"/>
        </w:rPr>
        <w:t>，重点发展</w:t>
      </w:r>
      <w:r>
        <w:rPr>
          <w:rFonts w:hint="eastAsia" w:ascii="仿宋_GB2312" w:hAnsi="仿宋_GB2312" w:eastAsia="仿宋_GB2312" w:cs="仿宋_GB2312"/>
          <w:color w:val="auto"/>
          <w:sz w:val="32"/>
          <w:szCs w:val="32"/>
          <w:highlight w:val="none"/>
          <w:lang w:val="en-US" w:eastAsia="zh-CN"/>
        </w:rPr>
        <w:t>有色金属冶炼、精深加工、</w:t>
      </w:r>
      <w:r>
        <w:rPr>
          <w:rFonts w:hint="eastAsia" w:ascii="仿宋_GB2312" w:hAnsi="仿宋_GB2312" w:eastAsia="仿宋_GB2312" w:cs="仿宋_GB2312"/>
          <w:color w:val="auto"/>
          <w:sz w:val="32"/>
          <w:szCs w:val="32"/>
          <w:highlight w:val="none"/>
        </w:rPr>
        <w:t>现代装备制造、</w:t>
      </w:r>
      <w:r>
        <w:rPr>
          <w:rFonts w:hint="eastAsia" w:ascii="仿宋_GB2312" w:hAnsi="仿宋_GB2312" w:eastAsia="仿宋_GB2312" w:cs="仿宋_GB2312"/>
          <w:color w:val="auto"/>
          <w:sz w:val="32"/>
          <w:szCs w:val="32"/>
          <w:highlight w:val="none"/>
          <w:lang w:val="en-US" w:eastAsia="zh-CN"/>
        </w:rPr>
        <w:t>能源化工</w:t>
      </w:r>
      <w:r>
        <w:rPr>
          <w:rFonts w:hint="eastAsia" w:ascii="仿宋_GB2312" w:hAnsi="仿宋_GB2312" w:eastAsia="仿宋_GB2312" w:cs="仿宋_GB2312"/>
          <w:color w:val="auto"/>
          <w:sz w:val="32"/>
          <w:szCs w:val="32"/>
          <w:highlight w:val="none"/>
        </w:rPr>
        <w:t>、数字经济等产业，</w:t>
      </w:r>
      <w:r>
        <w:rPr>
          <w:rFonts w:hint="eastAsia" w:ascii="仿宋_GB2312" w:hAnsi="仿宋_GB2312" w:eastAsia="仿宋_GB2312" w:cs="仿宋_GB2312"/>
          <w:color w:val="auto"/>
          <w:sz w:val="32"/>
          <w:szCs w:val="32"/>
          <w:highlight w:val="none"/>
          <w:lang w:val="en-US" w:eastAsia="zh-CN"/>
        </w:rPr>
        <w:t>以呼伦贝尔农垦集团为载体，集中打造“呼伦贝尔”农副食品加工产业平台新高地。不断丰富中心城区业态模式，支持打造</w:t>
      </w:r>
      <w:r>
        <w:rPr>
          <w:rFonts w:hint="eastAsia" w:ascii="仿宋_GB2312" w:hAnsi="仿宋_GB2312" w:eastAsia="仿宋_GB2312" w:cs="仿宋_GB2312"/>
          <w:color w:val="auto"/>
          <w:sz w:val="32"/>
          <w:szCs w:val="32"/>
          <w:highlight w:val="none"/>
        </w:rPr>
        <w:t>搭建创新平台，吸引高端人才，打造我市工业转型升级的“创新引擎”</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转化引擎</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before="0" w:after="0"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岭东生物科技与清洁能源示范区：以阿荣旗、</w:t>
      </w:r>
      <w:r>
        <w:rPr>
          <w:rFonts w:hint="eastAsia" w:ascii="仿宋_GB2312" w:hAnsi="仿宋_GB2312" w:eastAsia="仿宋_GB2312" w:cs="仿宋_GB2312"/>
          <w:color w:val="auto"/>
          <w:sz w:val="32"/>
          <w:szCs w:val="32"/>
          <w:highlight w:val="none"/>
          <w:lang w:eastAsia="zh-CN"/>
        </w:rPr>
        <w:t>莫力达瓦达斡尔族自治旗</w:t>
      </w:r>
      <w:r>
        <w:rPr>
          <w:rFonts w:hint="eastAsia" w:ascii="仿宋_GB2312" w:hAnsi="仿宋_GB2312" w:eastAsia="仿宋_GB2312" w:cs="仿宋_GB2312"/>
          <w:color w:val="auto"/>
          <w:sz w:val="32"/>
          <w:szCs w:val="32"/>
          <w:highlight w:val="none"/>
        </w:rPr>
        <w:t>、扎兰屯市为</w:t>
      </w:r>
      <w:r>
        <w:rPr>
          <w:rFonts w:hint="eastAsia" w:ascii="仿宋_GB2312" w:hAnsi="仿宋_GB2312" w:eastAsia="仿宋_GB2312" w:cs="仿宋_GB2312"/>
          <w:color w:val="auto"/>
          <w:sz w:val="32"/>
          <w:szCs w:val="32"/>
          <w:highlight w:val="none"/>
          <w:lang w:val="en-US" w:eastAsia="zh-CN"/>
        </w:rPr>
        <w:t>主</w:t>
      </w:r>
      <w:r>
        <w:rPr>
          <w:rFonts w:hint="eastAsia" w:ascii="仿宋_GB2312" w:hAnsi="仿宋_GB2312" w:eastAsia="仿宋_GB2312" w:cs="仿宋_GB2312"/>
          <w:color w:val="auto"/>
          <w:sz w:val="32"/>
          <w:szCs w:val="32"/>
          <w:highlight w:val="none"/>
        </w:rPr>
        <w:t>，依托丰富的农畜产品资源和生物质资源，</w:t>
      </w:r>
      <w:r>
        <w:rPr>
          <w:rFonts w:hint="eastAsia" w:ascii="仿宋_GB2312" w:hAnsi="仿宋_GB2312" w:eastAsia="仿宋_GB2312" w:cs="仿宋_GB2312"/>
          <w:color w:val="auto"/>
          <w:sz w:val="32"/>
          <w:szCs w:val="32"/>
          <w:highlight w:val="none"/>
          <w:lang w:val="en-US" w:eastAsia="zh-CN"/>
        </w:rPr>
        <w:t>依托龙头企业，延伸贯通产业链条，</w:t>
      </w:r>
      <w:r>
        <w:rPr>
          <w:rFonts w:hint="eastAsia" w:ascii="仿宋_GB2312" w:hAnsi="仿宋_GB2312" w:eastAsia="仿宋_GB2312" w:cs="仿宋_GB2312"/>
          <w:color w:val="auto"/>
          <w:sz w:val="32"/>
          <w:szCs w:val="32"/>
          <w:highlight w:val="none"/>
        </w:rPr>
        <w:t>重点发展生物科技、生物质能</w:t>
      </w:r>
      <w:r>
        <w:rPr>
          <w:rFonts w:hint="eastAsia" w:ascii="仿宋_GB2312" w:hAnsi="仿宋_GB2312" w:eastAsia="仿宋_GB2312" w:cs="仿宋_GB2312"/>
          <w:color w:val="auto"/>
          <w:sz w:val="32"/>
          <w:szCs w:val="32"/>
          <w:highlight w:val="none"/>
          <w:lang w:val="en-US" w:eastAsia="zh-CN"/>
        </w:rPr>
        <w:t>转化应用、储能、新型化工、精细化工、</w:t>
      </w:r>
      <w:r>
        <w:rPr>
          <w:rFonts w:hint="eastAsia" w:ascii="仿宋_GB2312" w:hAnsi="仿宋_GB2312" w:eastAsia="仿宋_GB2312" w:cs="仿宋_GB2312"/>
          <w:color w:val="auto"/>
          <w:sz w:val="32"/>
          <w:szCs w:val="32"/>
          <w:highlight w:val="none"/>
        </w:rPr>
        <w:t>农畜产</w:t>
      </w:r>
      <w:r>
        <w:rPr>
          <w:rFonts w:hint="eastAsia" w:ascii="仿宋_GB2312" w:hAnsi="仿宋_GB2312" w:eastAsia="仿宋_GB2312" w:cs="仿宋_GB2312"/>
          <w:color w:val="auto"/>
          <w:spacing w:val="6"/>
          <w:sz w:val="32"/>
          <w:szCs w:val="32"/>
          <w:highlight w:val="none"/>
        </w:rPr>
        <w:t>品</w:t>
      </w:r>
      <w:r>
        <w:rPr>
          <w:rFonts w:hint="eastAsia" w:ascii="仿宋_GB2312" w:hAnsi="仿宋_GB2312" w:eastAsia="仿宋_GB2312" w:cs="仿宋_GB2312"/>
          <w:color w:val="auto"/>
          <w:spacing w:val="6"/>
          <w:sz w:val="32"/>
          <w:szCs w:val="32"/>
          <w:highlight w:val="none"/>
          <w:lang w:val="en-US" w:eastAsia="zh-CN"/>
        </w:rPr>
        <w:t>精</w:t>
      </w:r>
      <w:r>
        <w:rPr>
          <w:rFonts w:hint="eastAsia" w:ascii="仿宋_GB2312" w:hAnsi="仿宋_GB2312" w:eastAsia="仿宋_GB2312" w:cs="仿宋_GB2312"/>
          <w:color w:val="auto"/>
          <w:spacing w:val="6"/>
          <w:sz w:val="32"/>
          <w:szCs w:val="32"/>
          <w:highlight w:val="none"/>
        </w:rPr>
        <w:t>深加工等产业，打造绿色低碳的生物科技</w:t>
      </w:r>
      <w:r>
        <w:rPr>
          <w:rFonts w:hint="eastAsia" w:ascii="仿宋_GB2312" w:hAnsi="仿宋_GB2312" w:eastAsia="仿宋_GB2312" w:cs="仿宋_GB2312"/>
          <w:color w:val="auto"/>
          <w:spacing w:val="6"/>
          <w:sz w:val="32"/>
          <w:szCs w:val="32"/>
          <w:highlight w:val="none"/>
          <w:lang w:val="en-US" w:eastAsia="zh-CN"/>
        </w:rPr>
        <w:t>和清洁能源</w:t>
      </w:r>
      <w:r>
        <w:rPr>
          <w:rFonts w:hint="eastAsia" w:ascii="仿宋_GB2312" w:hAnsi="仿宋_GB2312" w:eastAsia="仿宋_GB2312" w:cs="仿宋_GB2312"/>
          <w:color w:val="auto"/>
          <w:spacing w:val="6"/>
          <w:sz w:val="32"/>
          <w:szCs w:val="32"/>
          <w:highlight w:val="none"/>
        </w:rPr>
        <w:t>产业基地。</w:t>
      </w:r>
    </w:p>
    <w:p>
      <w:pPr>
        <w:keepNext w:val="0"/>
        <w:keepLines w:val="0"/>
        <w:pageBreakBefore w:val="0"/>
        <w:widowControl w:val="0"/>
        <w:kinsoku/>
        <w:wordWrap/>
        <w:overflowPunct/>
        <w:topLinePunct w:val="0"/>
        <w:autoSpaceDE/>
        <w:autoSpaceDN/>
        <w:bidi w:val="0"/>
        <w:adjustRightInd/>
        <w:snapToGrid/>
        <w:spacing w:before="0" w:after="0"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岭西</w:t>
      </w:r>
      <w:r>
        <w:rPr>
          <w:rFonts w:hint="eastAsia" w:ascii="仿宋_GB2312" w:hAnsi="仿宋_GB2312" w:eastAsia="仿宋_GB2312" w:cs="仿宋_GB2312"/>
          <w:color w:val="auto"/>
          <w:sz w:val="32"/>
          <w:szCs w:val="32"/>
          <w:highlight w:val="none"/>
          <w:lang w:val="en-US" w:eastAsia="zh-CN"/>
        </w:rPr>
        <w:t>进</w:t>
      </w:r>
      <w:r>
        <w:rPr>
          <w:rFonts w:hint="eastAsia" w:ascii="仿宋_GB2312" w:hAnsi="仿宋_GB2312" w:eastAsia="仿宋_GB2312" w:cs="仿宋_GB2312"/>
          <w:color w:val="auto"/>
          <w:sz w:val="32"/>
          <w:szCs w:val="32"/>
          <w:highlight w:val="none"/>
        </w:rPr>
        <w:t>出口加工与农畜产品精深加工集聚区：以满洲里</w:t>
      </w:r>
      <w:r>
        <w:rPr>
          <w:rFonts w:hint="eastAsia" w:ascii="仿宋_GB2312" w:hAnsi="仿宋_GB2312" w:eastAsia="仿宋_GB2312" w:cs="仿宋_GB2312"/>
          <w:color w:val="auto"/>
          <w:sz w:val="32"/>
          <w:szCs w:val="32"/>
          <w:highlight w:val="none"/>
          <w:lang w:eastAsia="zh-CN"/>
        </w:rPr>
        <w:t>市</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扎赉诺尔区、</w:t>
      </w:r>
      <w:r>
        <w:rPr>
          <w:rFonts w:hint="eastAsia" w:ascii="仿宋_GB2312" w:hAnsi="仿宋_GB2312" w:eastAsia="仿宋_GB2312" w:cs="仿宋_GB2312"/>
          <w:color w:val="auto"/>
          <w:sz w:val="32"/>
          <w:szCs w:val="32"/>
          <w:highlight w:val="none"/>
        </w:rPr>
        <w:t>新巴尔虎右旗、新巴尔虎左旗</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陈巴尔虎旗、鄂温克族自治旗</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主</w:t>
      </w:r>
      <w:r>
        <w:rPr>
          <w:rFonts w:hint="eastAsia" w:ascii="仿宋_GB2312" w:hAnsi="仿宋_GB2312" w:eastAsia="仿宋_GB2312" w:cs="仿宋_GB2312"/>
          <w:color w:val="auto"/>
          <w:sz w:val="32"/>
          <w:szCs w:val="32"/>
          <w:highlight w:val="none"/>
        </w:rPr>
        <w:t>，依托口岸优势和草原畜牧业资源，重点发展</w:t>
      </w:r>
      <w:r>
        <w:rPr>
          <w:rFonts w:hint="eastAsia" w:ascii="仿宋_GB2312" w:hAnsi="仿宋_GB2312" w:eastAsia="仿宋_GB2312" w:cs="仿宋_GB2312"/>
          <w:color w:val="auto"/>
          <w:sz w:val="32"/>
          <w:szCs w:val="32"/>
          <w:highlight w:val="none"/>
          <w:lang w:val="en-US" w:eastAsia="zh-CN"/>
        </w:rPr>
        <w:t>进</w:t>
      </w:r>
      <w:r>
        <w:rPr>
          <w:rFonts w:hint="eastAsia" w:ascii="仿宋_GB2312" w:hAnsi="仿宋_GB2312" w:eastAsia="仿宋_GB2312" w:cs="仿宋_GB2312"/>
          <w:color w:val="auto"/>
          <w:sz w:val="32"/>
          <w:szCs w:val="32"/>
          <w:highlight w:val="none"/>
        </w:rPr>
        <w:t>出口加工、农畜产品精深加工、跨境</w:t>
      </w:r>
      <w:r>
        <w:rPr>
          <w:rFonts w:hint="eastAsia" w:ascii="仿宋_GB2312" w:hAnsi="仿宋_GB2312" w:eastAsia="仿宋_GB2312" w:cs="仿宋_GB2312"/>
          <w:color w:val="auto"/>
          <w:sz w:val="32"/>
          <w:szCs w:val="32"/>
          <w:highlight w:val="none"/>
          <w:lang w:val="en-US" w:eastAsia="zh-CN"/>
        </w:rPr>
        <w:t>资源综合利用、有色金属及煤炭资源开发</w:t>
      </w:r>
      <w:r>
        <w:rPr>
          <w:rFonts w:hint="eastAsia" w:ascii="仿宋_GB2312" w:hAnsi="仿宋_GB2312" w:eastAsia="仿宋_GB2312" w:cs="仿宋_GB2312"/>
          <w:color w:val="auto"/>
          <w:sz w:val="32"/>
          <w:szCs w:val="32"/>
          <w:highlight w:val="none"/>
        </w:rPr>
        <w:t>等产业，打造外向型工业集聚区。</w:t>
      </w:r>
    </w:p>
    <w:p>
      <w:pPr>
        <w:keepNext w:val="0"/>
        <w:keepLines w:val="0"/>
        <w:pageBreakBefore w:val="0"/>
        <w:widowControl w:val="0"/>
        <w:kinsoku/>
        <w:wordWrap/>
        <w:overflowPunct/>
        <w:topLinePunct w:val="0"/>
        <w:autoSpaceDE/>
        <w:autoSpaceDN/>
        <w:bidi w:val="0"/>
        <w:adjustRightInd/>
        <w:snapToGrid/>
        <w:spacing w:before="0" w:after="0"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岭上特色与生态产业创新区：以牙克石市、根河市、额尔古纳市、鄂伦春旗为</w:t>
      </w:r>
      <w:r>
        <w:rPr>
          <w:rFonts w:hint="eastAsia" w:ascii="仿宋_GB2312" w:hAnsi="仿宋_GB2312" w:eastAsia="仿宋_GB2312" w:cs="仿宋_GB2312"/>
          <w:color w:val="auto"/>
          <w:sz w:val="32"/>
          <w:szCs w:val="32"/>
          <w:highlight w:val="none"/>
          <w:lang w:val="en-US" w:eastAsia="zh-CN"/>
        </w:rPr>
        <w:t>主</w:t>
      </w:r>
      <w:r>
        <w:rPr>
          <w:rFonts w:hint="eastAsia" w:ascii="仿宋_GB2312" w:hAnsi="仿宋_GB2312" w:eastAsia="仿宋_GB2312" w:cs="仿宋_GB2312"/>
          <w:color w:val="auto"/>
          <w:sz w:val="32"/>
          <w:szCs w:val="32"/>
          <w:highlight w:val="none"/>
        </w:rPr>
        <w:t>，依托丰富的</w:t>
      </w:r>
      <w:r>
        <w:rPr>
          <w:rFonts w:hint="eastAsia" w:ascii="仿宋_GB2312" w:hAnsi="仿宋_GB2312" w:eastAsia="仿宋_GB2312" w:cs="仿宋_GB2312"/>
          <w:color w:val="auto"/>
          <w:sz w:val="32"/>
          <w:szCs w:val="32"/>
          <w:highlight w:val="none"/>
          <w:lang w:eastAsia="zh-CN"/>
        </w:rPr>
        <w:t>矿产资源、</w:t>
      </w:r>
      <w:r>
        <w:rPr>
          <w:rFonts w:hint="eastAsia" w:ascii="仿宋_GB2312" w:hAnsi="仿宋_GB2312" w:eastAsia="仿宋_GB2312" w:cs="仿宋_GB2312"/>
          <w:color w:val="auto"/>
          <w:sz w:val="32"/>
          <w:szCs w:val="32"/>
          <w:highlight w:val="none"/>
        </w:rPr>
        <w:t>林下资源和生态优势，重点发展</w:t>
      </w:r>
      <w:r>
        <w:rPr>
          <w:rFonts w:hint="eastAsia" w:ascii="仿宋_GB2312" w:hAnsi="仿宋_GB2312" w:eastAsia="仿宋_GB2312" w:cs="仿宋_GB2312"/>
          <w:color w:val="auto"/>
          <w:sz w:val="32"/>
          <w:szCs w:val="32"/>
          <w:highlight w:val="none"/>
          <w:lang w:eastAsia="zh-CN"/>
        </w:rPr>
        <w:t>有色金属矿产资源开发利用、</w:t>
      </w:r>
      <w:r>
        <w:rPr>
          <w:rFonts w:hint="eastAsia" w:ascii="仿宋_GB2312" w:hAnsi="仿宋_GB2312" w:eastAsia="仿宋_GB2312" w:cs="仿宋_GB2312"/>
          <w:color w:val="auto"/>
          <w:sz w:val="32"/>
          <w:szCs w:val="32"/>
          <w:highlight w:val="none"/>
        </w:rPr>
        <w:t>农畜产品</w:t>
      </w:r>
      <w:r>
        <w:rPr>
          <w:rFonts w:hint="eastAsia" w:ascii="仿宋_GB2312" w:hAnsi="仿宋_GB2312" w:eastAsia="仿宋_GB2312" w:cs="仿宋_GB2312"/>
          <w:color w:val="auto"/>
          <w:sz w:val="32"/>
          <w:szCs w:val="32"/>
          <w:highlight w:val="none"/>
          <w:lang w:val="en-US" w:eastAsia="zh-CN"/>
        </w:rPr>
        <w:t>精</w:t>
      </w:r>
      <w:r>
        <w:rPr>
          <w:rFonts w:hint="eastAsia" w:ascii="仿宋_GB2312" w:hAnsi="仿宋_GB2312" w:eastAsia="仿宋_GB2312" w:cs="仿宋_GB2312"/>
          <w:color w:val="auto"/>
          <w:sz w:val="32"/>
          <w:szCs w:val="32"/>
          <w:highlight w:val="none"/>
        </w:rPr>
        <w:t>深加工</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林下特色产品加工、生物</w:t>
      </w:r>
      <w:r>
        <w:rPr>
          <w:rFonts w:hint="eastAsia" w:ascii="仿宋_GB2312" w:hAnsi="仿宋_GB2312" w:eastAsia="仿宋_GB2312" w:cs="仿宋_GB2312"/>
          <w:color w:val="auto"/>
          <w:sz w:val="32"/>
          <w:szCs w:val="32"/>
          <w:highlight w:val="none"/>
          <w:lang w:val="en-US" w:eastAsia="zh-CN"/>
        </w:rPr>
        <w:t>制造、</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工业</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旅游、</w:t>
      </w:r>
      <w:r>
        <w:rPr>
          <w:rFonts w:hint="eastAsia" w:ascii="仿宋_GB2312" w:hAnsi="仿宋_GB2312" w:eastAsia="仿宋_GB2312" w:cs="仿宋_GB2312"/>
          <w:color w:val="auto"/>
          <w:sz w:val="32"/>
          <w:szCs w:val="32"/>
          <w:highlight w:val="none"/>
          <w:lang w:val="en-US" w:eastAsia="zh-CN"/>
        </w:rPr>
        <w:t>寒</w:t>
      </w:r>
      <w:r>
        <w:rPr>
          <w:rFonts w:hint="eastAsia" w:ascii="仿宋_GB2312" w:hAnsi="仿宋_GB2312" w:eastAsia="仿宋_GB2312" w:cs="仿宋_GB2312"/>
          <w:color w:val="auto"/>
          <w:w w:val="97"/>
          <w:sz w:val="32"/>
          <w:szCs w:val="32"/>
          <w:highlight w:val="none"/>
          <w:lang w:val="en-US" w:eastAsia="zh-CN"/>
        </w:rPr>
        <w:t>地测试以及生物质能应用</w:t>
      </w:r>
      <w:r>
        <w:rPr>
          <w:rFonts w:hint="eastAsia" w:ascii="仿宋_GB2312" w:hAnsi="仿宋_GB2312" w:eastAsia="仿宋_GB2312" w:cs="仿宋_GB2312"/>
          <w:color w:val="auto"/>
          <w:w w:val="97"/>
          <w:sz w:val="32"/>
          <w:szCs w:val="32"/>
          <w:highlight w:val="none"/>
        </w:rPr>
        <w:t>等产业，打造生态友好型产业创新区。</w:t>
      </w:r>
    </w:p>
    <w:p>
      <w:pPr>
        <w:keepNext w:val="0"/>
        <w:keepLines w:val="0"/>
        <w:pageBreakBefore w:val="0"/>
        <w:widowControl w:val="0"/>
        <w:kinsoku/>
        <w:wordWrap/>
        <w:overflowPunct/>
        <w:topLinePunct w:val="0"/>
        <w:autoSpaceDE/>
        <w:autoSpaceDN/>
        <w:bidi w:val="0"/>
        <w:adjustRightInd/>
        <w:snapToGrid/>
        <w:spacing w:before="0" w:after="0"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各区域立足自身资源禀赋和产业基础，差异化发展、协同联动，避免同质化竞争，形成“一廊引领、四区联动、各具特色、协同高效”的工业空间布局。</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三</w:t>
      </w:r>
      <w:r>
        <w:rPr>
          <w:rFonts w:hint="eastAsia" w:ascii="黑体" w:hAnsi="黑体" w:eastAsia="黑体" w:cs="黑体"/>
          <w:color w:val="auto"/>
          <w:sz w:val="32"/>
          <w:szCs w:val="32"/>
        </w:rPr>
        <w:t>、保障措施</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（一）组织保障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健全统筹协调机制。</w:t>
      </w:r>
      <w:r>
        <w:rPr>
          <w:rFonts w:hint="eastAsia" w:ascii="仿宋_GB2312" w:hAnsi="仿宋_GB2312" w:eastAsia="仿宋_GB2312" w:cs="仿宋_GB2312"/>
          <w:color w:val="auto"/>
          <w:sz w:val="32"/>
          <w:szCs w:val="32"/>
          <w:lang w:val="en-US" w:eastAsia="zh-CN"/>
        </w:rPr>
        <w:t>高位组织</w:t>
      </w:r>
      <w:r>
        <w:rPr>
          <w:rFonts w:hint="eastAsia" w:ascii="仿宋_GB2312" w:hAnsi="仿宋_GB2312" w:eastAsia="仿宋_GB2312" w:cs="仿宋_GB2312"/>
          <w:color w:val="auto"/>
          <w:sz w:val="32"/>
          <w:szCs w:val="32"/>
        </w:rPr>
        <w:t>推进工业经济高质量发展领域重大事项决策、跨部门协同联动及重点项目全生命周期调度工作，建立“上下联动、左右协同、权责清晰、运转高效”的工作推进体系</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专题研判工业经济运行态势、协调解决堵点难点问题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确保</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实施方案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落实</w:t>
      </w:r>
      <w:r>
        <w:rPr>
          <w:rFonts w:hint="eastAsia" w:ascii="仿宋_GB2312" w:hAnsi="仿宋_GB2312" w:eastAsia="仿宋_GB2312" w:cs="仿宋_GB2312"/>
          <w:color w:val="auto"/>
          <w:sz w:val="32"/>
          <w:szCs w:val="32"/>
        </w:rPr>
        <w:t>落地，凝聚工业经济高质量发展工作合力。</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责任部门：市委办公室、市政府办公室、市</w:t>
      </w:r>
      <w:r>
        <w:rPr>
          <w:rFonts w:hint="eastAsia" w:ascii="仿宋_GB2312" w:hAnsi="仿宋_GB2312" w:eastAsia="仿宋_GB2312" w:cs="仿宋_GB2312"/>
          <w:color w:val="auto"/>
          <w:spacing w:val="-6"/>
          <w:sz w:val="32"/>
          <w:szCs w:val="32"/>
          <w:lang w:eastAsia="zh-CN"/>
        </w:rPr>
        <w:t>发展改革委</w:t>
      </w:r>
      <w:r>
        <w:rPr>
          <w:rFonts w:hint="eastAsia" w:ascii="仿宋_GB2312" w:hAnsi="仿宋_GB2312" w:eastAsia="仿宋_GB2312" w:cs="仿宋_GB2312"/>
          <w:color w:val="auto"/>
          <w:spacing w:val="-6"/>
          <w:sz w:val="32"/>
          <w:szCs w:val="32"/>
        </w:rPr>
        <w:t>、工信局</w:t>
      </w:r>
      <w:r>
        <w:rPr>
          <w:rFonts w:hint="eastAsia" w:ascii="仿宋_GB2312" w:hAnsi="仿宋_GB2312" w:eastAsia="仿宋_GB2312" w:cs="仿宋_GB2312"/>
          <w:color w:val="auto"/>
          <w:spacing w:val="-6"/>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完善督导</w:t>
      </w:r>
      <w:r>
        <w:rPr>
          <w:rFonts w:hint="eastAsia" w:ascii="仿宋_GB2312" w:hAnsi="仿宋_GB2312" w:eastAsia="仿宋_GB2312" w:cs="仿宋_GB2312"/>
          <w:color w:val="auto"/>
          <w:sz w:val="32"/>
          <w:szCs w:val="32"/>
          <w:highlight w:val="none"/>
          <w:lang w:val="en-US" w:eastAsia="zh-CN"/>
        </w:rPr>
        <w:t>督办</w:t>
      </w:r>
      <w:r>
        <w:rPr>
          <w:rFonts w:hint="eastAsia" w:ascii="仿宋_GB2312" w:hAnsi="仿宋_GB2312" w:eastAsia="仿宋_GB2312" w:cs="仿宋_GB2312"/>
          <w:color w:val="auto"/>
          <w:sz w:val="32"/>
          <w:szCs w:val="32"/>
          <w:highlight w:val="none"/>
        </w:rPr>
        <w:t>机制。将</w:t>
      </w:r>
      <w:r>
        <w:rPr>
          <w:rFonts w:hint="eastAsia" w:ascii="仿宋_GB2312" w:hAnsi="仿宋_GB2312" w:eastAsia="仿宋_GB2312" w:cs="仿宋_GB2312"/>
          <w:color w:val="auto"/>
          <w:sz w:val="32"/>
          <w:szCs w:val="32"/>
          <w:highlight w:val="none"/>
          <w:lang w:val="en-US" w:eastAsia="zh-CN"/>
        </w:rPr>
        <w:t>推进工业经济高质量发展</w:t>
      </w:r>
      <w:r>
        <w:rPr>
          <w:rFonts w:hint="eastAsia" w:ascii="仿宋_GB2312" w:hAnsi="仿宋_GB2312" w:eastAsia="仿宋_GB2312" w:cs="仿宋_GB2312"/>
          <w:color w:val="auto"/>
          <w:sz w:val="32"/>
          <w:szCs w:val="32"/>
          <w:highlight w:val="none"/>
        </w:rPr>
        <w:t>工作纳入年度绩效考核指标体系。考核评价部门将各项目标任务合理分解到各旗市区和相关部门，制定量化评价细则，定期对加快推进</w:t>
      </w:r>
      <w:r>
        <w:rPr>
          <w:rFonts w:hint="eastAsia" w:ascii="仿宋_GB2312" w:hAnsi="仿宋_GB2312" w:eastAsia="仿宋_GB2312" w:cs="仿宋_GB2312"/>
          <w:color w:val="auto"/>
          <w:sz w:val="32"/>
          <w:szCs w:val="32"/>
          <w:highlight w:val="none"/>
          <w:lang w:val="en-US" w:eastAsia="zh-CN"/>
        </w:rPr>
        <w:t>工业经济</w:t>
      </w:r>
      <w:r>
        <w:rPr>
          <w:rFonts w:hint="eastAsia" w:ascii="仿宋_GB2312" w:hAnsi="仿宋_GB2312" w:eastAsia="仿宋_GB2312" w:cs="仿宋_GB2312"/>
          <w:color w:val="auto"/>
          <w:sz w:val="32"/>
          <w:szCs w:val="32"/>
          <w:highlight w:val="none"/>
        </w:rPr>
        <w:t>高质量发展工作成效进行评估，及时反馈问题，动态优化调整。</w:t>
      </w:r>
      <w:r>
        <w:rPr>
          <w:rFonts w:hint="eastAsia" w:ascii="仿宋_GB2312" w:hAnsi="仿宋_GB2312" w:eastAsia="仿宋_GB2312" w:cs="仿宋_GB2312"/>
          <w:color w:val="auto"/>
          <w:sz w:val="32"/>
          <w:szCs w:val="32"/>
          <w:highlight w:val="none"/>
          <w:lang w:val="en-US" w:eastAsia="zh-CN"/>
        </w:rPr>
        <w:t>结合厅级领导包联旗市区、市委常态化大督查以及《市委要情》等督导督办机制。开展“月调度、季通报、年总结”工作实绩问效，确保各项任务落地见效。（</w:t>
      </w:r>
      <w:r>
        <w:rPr>
          <w:rFonts w:hint="eastAsia" w:ascii="仿宋_GB2312" w:hAnsi="仿宋_GB2312" w:eastAsia="仿宋_GB2312" w:cs="仿宋_GB2312"/>
          <w:color w:val="auto"/>
          <w:sz w:val="32"/>
          <w:szCs w:val="32"/>
          <w:highlight w:val="none"/>
        </w:rPr>
        <w:t>责任部门：市</w:t>
      </w:r>
      <w:r>
        <w:rPr>
          <w:rFonts w:hint="eastAsia" w:ascii="仿宋_GB2312" w:hAnsi="仿宋_GB2312" w:eastAsia="仿宋_GB2312" w:cs="仿宋_GB2312"/>
          <w:color w:val="auto"/>
          <w:sz w:val="32"/>
          <w:szCs w:val="32"/>
          <w:highlight w:val="none"/>
          <w:lang w:val="en-US" w:eastAsia="zh-CN"/>
        </w:rPr>
        <w:t>委办公室</w:t>
      </w:r>
      <w:r>
        <w:rPr>
          <w:rFonts w:hint="eastAsia" w:ascii="仿宋_GB2312" w:hAnsi="仿宋_GB2312" w:eastAsia="仿宋_GB2312" w:cs="仿宋_GB2312"/>
          <w:color w:val="auto"/>
          <w:sz w:val="32"/>
          <w:szCs w:val="32"/>
          <w:highlight w:val="none"/>
        </w:rPr>
        <w:t>、市人民政府办公室</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市委组织部）</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（二）要素保障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1.用地要素保障。优化国土空间规划布局，严守政策底线，重点保障新能源基地等项目用地需求，推行“区域评估</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lang w:val="en-US" w:eastAsia="zh-CN"/>
        </w:rPr>
        <w:t>标准地”模式，促进土地节约集约。（责任部门及旗市区：市自然资源局、工信局、能源局，各旗市区）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用能要素保障。建立工业用能优先保障机制，重点向高新技术产业、绿色制造、绿电绿氢等项目倾斜；统筹能耗指标动态调配，建立要素保障预警机制，及时解决项目用能缺口。</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责任部门：市</w:t>
      </w:r>
      <w:r>
        <w:rPr>
          <w:rFonts w:hint="eastAsia" w:ascii="仿宋_GB2312" w:hAnsi="仿宋_GB2312" w:eastAsia="仿宋_GB2312" w:cs="仿宋_GB2312"/>
          <w:color w:val="auto"/>
          <w:sz w:val="32"/>
          <w:szCs w:val="32"/>
          <w:lang w:eastAsia="zh-CN"/>
        </w:rPr>
        <w:t>发展改革委</w:t>
      </w:r>
      <w:r>
        <w:rPr>
          <w:rFonts w:hint="eastAsia" w:ascii="仿宋_GB2312" w:hAnsi="仿宋_GB2312" w:eastAsia="仿宋_GB2312" w:cs="仿宋_GB2312"/>
          <w:color w:val="auto"/>
          <w:sz w:val="32"/>
          <w:szCs w:val="32"/>
        </w:rPr>
        <w:t>、能源局</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资源交通支撑。统</w:t>
      </w:r>
      <w:r>
        <w:rPr>
          <w:rFonts w:hint="eastAsia" w:ascii="仿宋_GB2312" w:hAnsi="仿宋_GB2312" w:eastAsia="仿宋_GB2312" w:cs="仿宋_GB2312"/>
          <w:color w:val="auto"/>
          <w:sz w:val="32"/>
          <w:szCs w:val="32"/>
          <w:highlight w:val="none"/>
        </w:rPr>
        <w:t>筹水、环境容量等</w:t>
      </w:r>
      <w:r>
        <w:rPr>
          <w:rFonts w:hint="eastAsia" w:ascii="仿宋_GB2312" w:hAnsi="仿宋_GB2312" w:eastAsia="仿宋_GB2312" w:cs="仿宋_GB2312"/>
          <w:color w:val="auto"/>
          <w:sz w:val="32"/>
          <w:szCs w:val="32"/>
        </w:rPr>
        <w:t>要素指标，实行“要素跟着项目走、保障围着需求转”机制，强化部门协同联动，精准对接项目要素需求。</w:t>
      </w:r>
      <w:r>
        <w:rPr>
          <w:rFonts w:hint="eastAsia" w:ascii="仿宋_GB2312" w:hAnsi="仿宋_GB2312" w:eastAsia="仿宋_GB2312" w:cs="仿宋_GB2312"/>
          <w:color w:val="auto"/>
          <w:sz w:val="32"/>
          <w:szCs w:val="32"/>
          <w:lang w:val="en-US" w:eastAsia="zh-CN"/>
        </w:rPr>
        <w:t>严格落实生态环境分区管控要求，依法依规开展建设项目环境影响评价。</w:t>
      </w:r>
      <w:r>
        <w:rPr>
          <w:rFonts w:hint="eastAsia" w:ascii="仿宋_GB2312" w:hAnsi="仿宋_GB2312" w:eastAsia="仿宋_GB2312" w:cs="仿宋_GB2312"/>
          <w:color w:val="auto"/>
          <w:sz w:val="32"/>
          <w:szCs w:val="32"/>
        </w:rPr>
        <w:t>推进滨洲铁路</w:t>
      </w:r>
      <w:r>
        <w:rPr>
          <w:rFonts w:hint="eastAsia" w:ascii="仿宋_GB2312" w:hAnsi="仿宋_GB2312" w:eastAsia="仿宋_GB2312" w:cs="仿宋_GB2312"/>
          <w:color w:val="auto"/>
          <w:sz w:val="32"/>
          <w:szCs w:val="32"/>
          <w:lang w:val="en-US" w:eastAsia="zh-CN"/>
        </w:rPr>
        <w:t>齐海满段</w:t>
      </w:r>
      <w:r>
        <w:rPr>
          <w:rFonts w:hint="eastAsia" w:ascii="仿宋_GB2312" w:hAnsi="仿宋_GB2312" w:eastAsia="仿宋_GB2312" w:cs="仿宋_GB2312"/>
          <w:color w:val="auto"/>
          <w:sz w:val="32"/>
          <w:szCs w:val="32"/>
        </w:rPr>
        <w:t>开行动车组、阿尔山至海拉尔</w:t>
      </w:r>
      <w:r>
        <w:rPr>
          <w:rFonts w:hint="eastAsia" w:ascii="仿宋_GB2312" w:hAnsi="仿宋_GB2312" w:eastAsia="仿宋_GB2312" w:cs="仿宋_GB2312"/>
          <w:color w:val="auto"/>
          <w:sz w:val="32"/>
          <w:szCs w:val="32"/>
          <w:lang w:val="en-US" w:eastAsia="zh-CN"/>
        </w:rPr>
        <w:t>铁路开行</w:t>
      </w:r>
      <w:r>
        <w:rPr>
          <w:rFonts w:hint="eastAsia" w:ascii="仿宋_GB2312" w:hAnsi="仿宋_GB2312" w:eastAsia="仿宋_GB2312" w:cs="仿宋_GB2312"/>
          <w:color w:val="auto"/>
          <w:sz w:val="32"/>
          <w:szCs w:val="32"/>
        </w:rPr>
        <w:t>动车</w:t>
      </w:r>
      <w:r>
        <w:rPr>
          <w:rFonts w:hint="eastAsia" w:ascii="仿宋_GB2312" w:hAnsi="仿宋_GB2312" w:eastAsia="仿宋_GB2312" w:cs="仿宋_GB2312"/>
          <w:color w:val="auto"/>
          <w:sz w:val="32"/>
          <w:szCs w:val="32"/>
          <w:lang w:val="en-US" w:eastAsia="zh-CN"/>
        </w:rPr>
        <w:t>组</w:t>
      </w:r>
      <w:r>
        <w:rPr>
          <w:rFonts w:hint="eastAsia" w:ascii="仿宋_GB2312" w:hAnsi="仿宋_GB2312" w:eastAsia="仿宋_GB2312" w:cs="仿宋_GB2312"/>
          <w:color w:val="auto"/>
          <w:sz w:val="32"/>
          <w:szCs w:val="32"/>
        </w:rPr>
        <w:t>等项目，完善8个国家级口岸“一轴两翼”开放体系，构建公铁联运绿色物流网络。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责任部门：市水利局、生态环境局、交通局、商务局、相关口岸海关</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（三）资金保障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强化上级资金争跑。聚焦能源、制造业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工业园区</w:t>
      </w:r>
      <w:r>
        <w:rPr>
          <w:rFonts w:hint="eastAsia" w:ascii="仿宋_GB2312" w:hAnsi="仿宋_GB2312" w:eastAsia="仿宋_GB2312" w:cs="仿宋_GB2312"/>
          <w:color w:val="auto"/>
          <w:sz w:val="32"/>
          <w:szCs w:val="32"/>
          <w:lang w:val="en-US" w:eastAsia="zh-CN"/>
        </w:rPr>
        <w:t>基础设施</w:t>
      </w:r>
      <w:r>
        <w:rPr>
          <w:rFonts w:hint="eastAsia" w:ascii="仿宋_GB2312" w:hAnsi="仿宋_GB2312" w:eastAsia="仿宋_GB2312" w:cs="仿宋_GB2312"/>
          <w:color w:val="auto"/>
          <w:sz w:val="32"/>
          <w:szCs w:val="32"/>
        </w:rPr>
        <w:t>等重点领域，围绕传统产业升级、新兴产业培育、</w:t>
      </w:r>
      <w:r>
        <w:rPr>
          <w:rFonts w:hint="eastAsia" w:ascii="仿宋_GB2312" w:hAnsi="仿宋_GB2312" w:eastAsia="仿宋_GB2312" w:cs="仿宋_GB2312"/>
          <w:color w:val="auto"/>
          <w:sz w:val="32"/>
          <w:szCs w:val="32"/>
          <w:lang w:val="en-US" w:eastAsia="zh-CN"/>
        </w:rPr>
        <w:t>未来产业谋划</w:t>
      </w:r>
      <w:r>
        <w:rPr>
          <w:rFonts w:hint="eastAsia" w:ascii="仿宋_GB2312" w:hAnsi="仿宋_GB2312" w:eastAsia="仿宋_GB2312" w:cs="仿宋_GB2312"/>
          <w:color w:val="auto"/>
          <w:sz w:val="32"/>
          <w:szCs w:val="32"/>
        </w:rPr>
        <w:t>等方向，</w:t>
      </w:r>
      <w:r>
        <w:rPr>
          <w:rFonts w:hint="eastAsia" w:ascii="仿宋_GB2312" w:hAnsi="仿宋_GB2312" w:eastAsia="仿宋_GB2312" w:cs="仿宋_GB2312"/>
          <w:color w:val="auto"/>
          <w:sz w:val="32"/>
          <w:szCs w:val="32"/>
          <w:lang w:val="en-US" w:eastAsia="zh-CN"/>
        </w:rPr>
        <w:t>推动</w:t>
      </w:r>
      <w:r>
        <w:rPr>
          <w:rFonts w:hint="eastAsia" w:ascii="仿宋_GB2312" w:hAnsi="仿宋_GB2312" w:eastAsia="仿宋_GB2312" w:cs="仿宋_GB2312"/>
          <w:b w:val="0"/>
          <w:bCs w:val="0"/>
          <w:color w:val="auto"/>
          <w:sz w:val="32"/>
          <w:szCs w:val="32"/>
          <w:lang w:val="en-US" w:eastAsia="zh-CN"/>
        </w:rPr>
        <w:t>企业技术改造升级，包装谋划工业项目，</w:t>
      </w:r>
      <w:r>
        <w:rPr>
          <w:rFonts w:hint="eastAsia" w:ascii="仿宋_GB2312" w:hAnsi="仿宋_GB2312" w:eastAsia="仿宋_GB2312" w:cs="仿宋_GB2312"/>
          <w:color w:val="auto"/>
          <w:sz w:val="32"/>
          <w:szCs w:val="32"/>
        </w:rPr>
        <w:t>全力争取中央预算内投资、专项债券、产业发展基金</w:t>
      </w:r>
      <w:r>
        <w:rPr>
          <w:rFonts w:hint="eastAsia" w:ascii="仿宋_GB2312" w:hAnsi="仿宋_GB2312" w:eastAsia="仿宋_GB2312" w:cs="仿宋_GB2312"/>
          <w:color w:val="auto"/>
          <w:sz w:val="32"/>
          <w:szCs w:val="32"/>
          <w:lang w:val="en-US" w:eastAsia="zh-CN"/>
        </w:rPr>
        <w:t>及自治区各专项资金</w:t>
      </w:r>
      <w:r>
        <w:rPr>
          <w:rFonts w:hint="eastAsia" w:ascii="仿宋_GB2312" w:hAnsi="仿宋_GB2312" w:eastAsia="仿宋_GB2312" w:cs="仿宋_GB2312"/>
          <w:color w:val="auto"/>
          <w:sz w:val="32"/>
          <w:szCs w:val="32"/>
        </w:rPr>
        <w:t>支持。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w:t>
      </w:r>
      <w:r>
        <w:rPr>
          <w:rFonts w:hint="eastAsia" w:ascii="仿宋_GB2312" w:hAnsi="仿宋_GB2312" w:eastAsia="仿宋_GB2312" w:cs="仿宋_GB2312"/>
          <w:color w:val="auto"/>
          <w:sz w:val="32"/>
          <w:szCs w:val="32"/>
          <w:lang w:val="en-US" w:eastAsia="zh-CN"/>
        </w:rPr>
        <w:t>及旗市区</w:t>
      </w:r>
      <w:r>
        <w:rPr>
          <w:rFonts w:hint="eastAsia" w:ascii="仿宋_GB2312" w:hAnsi="仿宋_GB2312" w:eastAsia="仿宋_GB2312" w:cs="仿宋_GB2312"/>
          <w:color w:val="auto"/>
          <w:sz w:val="32"/>
          <w:szCs w:val="32"/>
        </w:rPr>
        <w:t>：市</w:t>
      </w:r>
      <w:r>
        <w:rPr>
          <w:rFonts w:hint="eastAsia" w:ascii="仿宋_GB2312" w:hAnsi="仿宋_GB2312" w:eastAsia="仿宋_GB2312" w:cs="仿宋_GB2312"/>
          <w:color w:val="auto"/>
          <w:sz w:val="32"/>
          <w:szCs w:val="32"/>
          <w:lang w:eastAsia="zh-CN"/>
        </w:rPr>
        <w:t>发展改革委</w:t>
      </w:r>
      <w:r>
        <w:rPr>
          <w:rFonts w:hint="eastAsia" w:ascii="仿宋_GB2312" w:hAnsi="仿宋_GB2312" w:eastAsia="仿宋_GB2312" w:cs="仿宋_GB2312"/>
          <w:color w:val="auto"/>
          <w:sz w:val="32"/>
          <w:szCs w:val="32"/>
        </w:rPr>
        <w:t>、工信局、能源局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经开区，各旗市区</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2.发挥</w:t>
      </w:r>
      <w:r>
        <w:rPr>
          <w:rFonts w:hint="eastAsia" w:ascii="仿宋_GB2312" w:hAnsi="仿宋_GB2312" w:eastAsia="仿宋_GB2312" w:cs="仿宋_GB2312"/>
          <w:color w:val="auto"/>
          <w:sz w:val="32"/>
          <w:szCs w:val="32"/>
          <w:highlight w:val="none"/>
        </w:rPr>
        <w:t>市本级财政投入</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撬动作用。“十五五”时期，以每年6000万元支持引导资金为“支点”，通过精准对接上级资金注入政策动力，撬动社会资本形成多元投入，精准投向工业园区配套设施建设、科技创新建设、产业转型升级、绿色低碳发展、产业发展研究等领域，对事关全局的重点工作、重大项目采用一事一议方式，推动资金效益最大化，切实起到“集中力量办大事”作用。2026年，重点支持经开区关键基础设施建设，撬动实施基础设施及产业类项目。</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责任部门</w:t>
      </w:r>
      <w:r>
        <w:rPr>
          <w:rFonts w:hint="eastAsia" w:ascii="仿宋_GB2312" w:hAnsi="仿宋_GB2312" w:eastAsia="仿宋_GB2312" w:cs="仿宋_GB2312"/>
          <w:color w:val="auto"/>
          <w:sz w:val="32"/>
          <w:szCs w:val="32"/>
          <w:highlight w:val="none"/>
          <w:lang w:val="en-US" w:eastAsia="zh-CN"/>
        </w:rPr>
        <w:t>及旗市区</w:t>
      </w:r>
      <w:r>
        <w:rPr>
          <w:rFonts w:hint="eastAsia" w:ascii="仿宋_GB2312" w:hAnsi="仿宋_GB2312" w:eastAsia="仿宋_GB2312" w:cs="仿宋_GB2312"/>
          <w:color w:val="auto"/>
          <w:sz w:val="32"/>
          <w:szCs w:val="32"/>
          <w:highlight w:val="none"/>
        </w:rPr>
        <w:t>：市财政局、工信局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经开区，相关旗市区</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金融服务赋能。建立政银企对接常态化机制，促进金融资源高效配置。运用好金融工具，进一步促进社会贷款增长，引导金融机构加强对工业企业的信贷支持，缓解融资难、融资贵问题。鼓励金融机构创新发展供应链金融、知识产权质押融资等多元化金融产品，提升产业链韧性和企业创新能力，为实体经济注入活力，推动工业经济高质量发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责任部门：市财政局、人民银行、金融监管分局</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（四）招商引资保障</w:t>
      </w:r>
    </w:p>
    <w:p>
      <w:pPr>
        <w:keepNext w:val="0"/>
        <w:keepLines w:val="0"/>
        <w:pageBreakBefore w:val="0"/>
        <w:widowControl w:val="0"/>
        <w:kinsoku/>
        <w:wordWrap/>
        <w:overflowPunct/>
        <w:topLinePunct w:val="0"/>
        <w:autoSpaceDE/>
        <w:autoSpaceDN/>
        <w:bidi w:val="0"/>
        <w:adjustRightInd/>
        <w:snapToGrid/>
        <w:spacing w:line="546" w:lineRule="exact"/>
        <w:ind w:left="0" w:leftChars="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开展精准招商。落实重点领域招商专项组工作机制，运用“两图两表两库两分析”及“十五五”项目库，精准制定招商方案，梳理产业政策指南，锁定目标区域与企业，开展靶向对接与小分队上门招商。强化市旗联动、部门协同，打破行业与地区壁垒，强化信息共享与项目调度，及时破解项目对接难点，切实提高项目签约率与落地成功率。（责任部门：各产业链牵头单位、市投促中心、各旗市区）</w:t>
      </w:r>
    </w:p>
    <w:p>
      <w:pPr>
        <w:keepNext w:val="0"/>
        <w:keepLines w:val="0"/>
        <w:pageBreakBefore w:val="0"/>
        <w:widowControl w:val="0"/>
        <w:kinsoku/>
        <w:wordWrap/>
        <w:overflowPunct/>
        <w:topLinePunct w:val="0"/>
        <w:autoSpaceDE/>
        <w:autoSpaceDN/>
        <w:bidi w:val="0"/>
        <w:adjustRightInd/>
        <w:snapToGrid/>
        <w:spacing w:line="546" w:lineRule="exac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color w:val="auto"/>
          <w:sz w:val="32"/>
          <w:szCs w:val="32"/>
          <w:highlight w:val="none"/>
          <w:u w:val="none"/>
          <w:lang w:val="en-US" w:eastAsia="zh-CN"/>
        </w:rPr>
        <w:t>2.创新招商模式。打造“情系呼伦贝尔大草原恳谈会”招商品牌，建立以驻外联络处、异地商协会及在外呼伦贝尔籍人士为依托的召集机制，在重点节点城市定期开展推介、签约、展示活动。统筹建立并动态更新户籍人才库、投资项目库等资源库，协同各专项组形成“需求—资源”精准对接，构建内外联动的招商资源汇聚体系。（责任部门：各产业链牵头单位、市投促中心、各旗市区）</w:t>
      </w:r>
    </w:p>
    <w:p>
      <w:pPr>
        <w:keepNext w:val="0"/>
        <w:keepLines w:val="0"/>
        <w:pageBreakBefore w:val="0"/>
        <w:widowControl w:val="0"/>
        <w:kinsoku/>
        <w:wordWrap/>
        <w:overflowPunct/>
        <w:topLinePunct w:val="0"/>
        <w:autoSpaceDE/>
        <w:autoSpaceDN/>
        <w:bidi w:val="0"/>
        <w:adjustRightInd/>
        <w:snapToGrid/>
        <w:spacing w:line="54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（五）安全生产保障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1.严格履行监管责任。以权责清单为核心，推行“精准监管</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rPr>
        <w:t>优质服务”模式，由应急管理部门牵头整合多部门监管数据，优化应急管理信息系统，依据年度安全生产执法检查计划，强化联动执法与“行刑衔接”，设立安全信用激励机制，优质企业依规减少检查频次。定期开展法规培训和专家“上门问诊”。（责任部门：市应急管理局、各行业主管部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发挥行管部门作用。将安全约束嵌入规划、政策、标准，严守项目审批红线，督促企业完善监测管控，每季度研判安全形势，每年至少组织一次企业主要负责人安全培训，持续健全协同机制。（责任部门：各行业主管部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3.落实属地责任。每半年分析辖区安全形势，协调解决重点难点问题，建立重点问题台账销号制度，确保各项安全措施落地见效。（责任旗市区：各旗市区）</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（六）人才保障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实施“人才强市”战略。围绕绿色化工、新能源</w:t>
      </w:r>
      <w:r>
        <w:rPr>
          <w:rFonts w:hint="eastAsia" w:ascii="宋体" w:hAnsi="宋体" w:eastAsia="宋体" w:cs="宋体"/>
          <w:sz w:val="32"/>
          <w:szCs w:val="32"/>
          <w:lang w:val="en-US" w:eastAsia="zh-CN"/>
        </w:rPr>
        <w:t>＋</w:t>
      </w:r>
      <w:r>
        <w:rPr>
          <w:rFonts w:hint="eastAsia" w:ascii="仿宋_GB2312" w:hAnsi="仿宋_GB2312" w:eastAsia="仿宋_GB2312" w:cs="仿宋_GB2312"/>
          <w:color w:val="auto"/>
          <w:sz w:val="32"/>
          <w:szCs w:val="32"/>
        </w:rPr>
        <w:t>、装备制造等</w:t>
      </w:r>
      <w:r>
        <w:rPr>
          <w:rFonts w:hint="eastAsia" w:ascii="仿宋_GB2312" w:hAnsi="仿宋_GB2312" w:eastAsia="仿宋_GB2312" w:cs="仿宋_GB2312"/>
          <w:color w:val="auto"/>
          <w:sz w:val="32"/>
          <w:szCs w:val="32"/>
          <w:lang w:eastAsia="zh-CN"/>
        </w:rPr>
        <w:t>重点产业</w:t>
      </w:r>
      <w:r>
        <w:rPr>
          <w:rFonts w:hint="eastAsia" w:ascii="仿宋_GB2312" w:hAnsi="仿宋_GB2312" w:eastAsia="仿宋_GB2312" w:cs="仿宋_GB2312"/>
          <w:color w:val="auto"/>
          <w:sz w:val="32"/>
          <w:szCs w:val="32"/>
        </w:rPr>
        <w:t>领域，引进</w:t>
      </w:r>
      <w:r>
        <w:rPr>
          <w:rFonts w:hint="eastAsia" w:ascii="仿宋_GB2312" w:hAnsi="仿宋_GB2312" w:eastAsia="仿宋_GB2312" w:cs="仿宋_GB2312"/>
          <w:color w:val="auto"/>
          <w:sz w:val="32"/>
          <w:szCs w:val="32"/>
          <w:lang w:eastAsia="zh-CN"/>
        </w:rPr>
        <w:t>掌握核心技术、具备创新能力的</w:t>
      </w:r>
      <w:r>
        <w:rPr>
          <w:rFonts w:hint="eastAsia" w:ascii="仿宋_GB2312" w:hAnsi="仿宋_GB2312" w:eastAsia="仿宋_GB2312" w:cs="仿宋_GB2312"/>
          <w:color w:val="auto"/>
          <w:sz w:val="32"/>
          <w:szCs w:val="32"/>
        </w:rPr>
        <w:t>高层次科技创新人才和</w:t>
      </w:r>
      <w:r>
        <w:rPr>
          <w:rFonts w:hint="eastAsia" w:ascii="仿宋_GB2312" w:hAnsi="仿宋_GB2312" w:eastAsia="仿宋_GB2312" w:cs="仿宋_GB2312"/>
          <w:color w:val="auto"/>
          <w:sz w:val="32"/>
          <w:szCs w:val="32"/>
          <w:lang w:eastAsia="zh-CN"/>
        </w:rPr>
        <w:t>具有带动作用的领军型</w:t>
      </w:r>
      <w:r>
        <w:rPr>
          <w:rFonts w:hint="eastAsia" w:ascii="仿宋_GB2312" w:hAnsi="仿宋_GB2312" w:eastAsia="仿宋_GB2312" w:cs="仿宋_GB2312"/>
          <w:color w:val="auto"/>
          <w:sz w:val="32"/>
          <w:szCs w:val="32"/>
        </w:rPr>
        <w:t>团队</w:t>
      </w:r>
      <w:r>
        <w:rPr>
          <w:rFonts w:hint="eastAsia" w:ascii="仿宋_GB2312" w:hAnsi="仿宋_GB2312" w:eastAsia="仿宋_GB2312" w:cs="仿宋_GB2312"/>
          <w:color w:val="auto"/>
          <w:sz w:val="32"/>
          <w:szCs w:val="32"/>
          <w:lang w:eastAsia="zh-CN"/>
        </w:rPr>
        <w:t>。同时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加强本土人才的系统化</w:t>
      </w:r>
      <w:r>
        <w:rPr>
          <w:rFonts w:hint="eastAsia" w:ascii="仿宋_GB2312" w:hAnsi="仿宋_GB2312" w:eastAsia="仿宋_GB2312" w:cs="仿宋_GB2312"/>
          <w:color w:val="auto"/>
          <w:sz w:val="32"/>
          <w:szCs w:val="32"/>
        </w:rPr>
        <w:t>培育</w:t>
      </w:r>
      <w:r>
        <w:rPr>
          <w:rFonts w:hint="eastAsia" w:ascii="仿宋_GB2312" w:hAnsi="仿宋_GB2312" w:eastAsia="仿宋_GB2312" w:cs="仿宋_GB2312"/>
          <w:color w:val="auto"/>
          <w:sz w:val="32"/>
          <w:szCs w:val="32"/>
          <w:lang w:eastAsia="zh-CN"/>
        </w:rPr>
        <w:t>，依托职业院校、企业实训基地，建立健全覆盖多工种的</w:t>
      </w:r>
      <w:r>
        <w:rPr>
          <w:rFonts w:hint="eastAsia" w:ascii="仿宋_GB2312" w:hAnsi="仿宋_GB2312" w:eastAsia="仿宋_GB2312" w:cs="仿宋_GB2312"/>
          <w:color w:val="auto"/>
          <w:sz w:val="32"/>
          <w:szCs w:val="32"/>
        </w:rPr>
        <w:t>技能型</w:t>
      </w:r>
      <w:r>
        <w:rPr>
          <w:rFonts w:hint="eastAsia" w:ascii="仿宋_GB2312" w:hAnsi="仿宋_GB2312" w:eastAsia="仿宋_GB2312" w:cs="仿宋_GB2312"/>
          <w:color w:val="auto"/>
          <w:sz w:val="32"/>
          <w:szCs w:val="32"/>
          <w:lang w:eastAsia="zh-CN"/>
        </w:rPr>
        <w:t>人才培养体系，推动形成外引内育、结构合理、持续发展的人才队伍新格局</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责任部门：市委组织部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市人社局</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教育局</w:t>
      </w:r>
      <w:r>
        <w:rPr>
          <w:rFonts w:hint="eastAsia" w:ascii="仿宋_GB2312" w:hAnsi="仿宋_GB2312" w:eastAsia="仿宋_GB2312" w:cs="仿宋_GB2312"/>
          <w:color w:val="auto"/>
          <w:sz w:val="32"/>
          <w:szCs w:val="32"/>
        </w:rPr>
        <w:t>，域内高校</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2.健全人才培养体系。全面提升地区人才供给质量，拓展高等教育资源，支持扎兰屯职业学院深化“双高”建设，加强职业技能培训，聚焦工业领域需求，通过校企合作、实训基地建设等方式，培养大批实用型技术技能人才，助力产业升级。加强“人才飞地”建设，利用异地创新平台，促进本地与域外人才交流合作，实现资源共享和优势互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责任部门：市教</w:t>
      </w:r>
      <w:r>
        <w:rPr>
          <w:rFonts w:hint="eastAsia" w:ascii="仿宋_GB2312" w:hAnsi="仿宋_GB2312" w:eastAsia="仿宋_GB2312" w:cs="仿宋_GB2312"/>
          <w:sz w:val="32"/>
          <w:szCs w:val="32"/>
        </w:rPr>
        <w:t>育局、人社局，</w:t>
      </w:r>
      <w:r>
        <w:rPr>
          <w:rFonts w:hint="eastAsia" w:ascii="仿宋_GB2312" w:hAnsi="仿宋_GB2312" w:eastAsia="仿宋_GB2312" w:cs="仿宋_GB2312"/>
          <w:sz w:val="32"/>
          <w:szCs w:val="32"/>
          <w:lang w:val="en-US" w:eastAsia="zh-CN"/>
        </w:rPr>
        <w:t>市委组织部，</w:t>
      </w:r>
      <w:r>
        <w:rPr>
          <w:rFonts w:hint="eastAsia" w:ascii="仿宋_GB2312" w:hAnsi="仿宋_GB2312" w:eastAsia="仿宋_GB2312" w:cs="仿宋_GB2312"/>
          <w:sz w:val="32"/>
          <w:szCs w:val="32"/>
        </w:rPr>
        <w:t>域内高校</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1918" w:leftChars="304" w:hanging="1280" w:hangingChars="400"/>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1918" w:leftChars="304" w:hanging="1280" w:hangingChars="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附件：1.《关于推进呼伦贝尔市“十五五”工业经济高质量发展实施方案》任务清单</w:t>
      </w:r>
    </w:p>
    <w:p>
      <w:pPr>
        <w:keepNext w:val="0"/>
        <w:keepLines w:val="0"/>
        <w:pageBreakBefore w:val="0"/>
        <w:widowControl w:val="0"/>
        <w:kinsoku/>
        <w:wordWrap/>
        <w:overflowPunct/>
        <w:topLinePunct w:val="0"/>
        <w:autoSpaceDE/>
        <w:autoSpaceDN/>
        <w:bidi w:val="0"/>
        <w:adjustRightInd/>
        <w:snapToGrid/>
        <w:spacing w:line="600" w:lineRule="exact"/>
        <w:ind w:left="1916" w:leftChars="760" w:hanging="320" w:hangingChars="1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2.支持呼伦贝尔市“十五五”工业经济高质量发展财政资金使用细则</w:t>
      </w:r>
    </w:p>
    <w:p>
      <w:pPr>
        <w:keepNext w:val="0"/>
        <w:keepLines w:val="0"/>
        <w:pageBreakBefore w:val="0"/>
        <w:widowControl w:val="0"/>
        <w:kinsoku/>
        <w:wordWrap/>
        <w:overflowPunct/>
        <w:topLinePunct w:val="0"/>
        <w:autoSpaceDE/>
        <w:autoSpaceDN/>
        <w:bidi w:val="0"/>
        <w:adjustRightInd/>
        <w:snapToGrid/>
        <w:spacing w:line="600" w:lineRule="exact"/>
        <w:ind w:firstLine="1600" w:firstLineChars="500"/>
        <w:jc w:val="both"/>
        <w:textAlignment w:val="auto"/>
        <w:rPr>
          <w:rFonts w:hint="default" w:ascii="仿宋_GB2312" w:hAnsi="仿宋_GB2312" w:eastAsia="仿宋_GB2312" w:cs="仿宋_GB2312"/>
          <w:sz w:val="32"/>
          <w:szCs w:val="32"/>
          <w:lang w:val="en-US" w:eastAsia="zh-CN"/>
        </w:rPr>
        <w:sectPr>
          <w:footerReference r:id="rId3" w:type="default"/>
          <w:pgSz w:w="11906" w:h="16838"/>
          <w:pgMar w:top="2098" w:right="1531" w:bottom="1984" w:left="1531" w:header="850" w:footer="1587" w:gutter="0"/>
          <w:pgNumType w:fmt="numberInDash"/>
          <w:cols w:space="720" w:num="1"/>
          <w:docGrid w:linePitch="360" w:charSpace="0"/>
        </w:sect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附件1</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黑体" w:hAnsi="黑体" w:eastAsia="黑体" w:cs="黑体"/>
          <w:color w:val="auto"/>
          <w:sz w:val="28"/>
          <w:szCs w:val="28"/>
          <w:highlight w:val="none"/>
          <w:u w:val="none"/>
          <w:lang w:val="en-US" w:eastAsia="zh-CN"/>
        </w:rPr>
      </w:pPr>
      <w:r>
        <w:rPr>
          <w:rFonts w:hint="eastAsia" w:ascii="方正小标宋简体" w:hAnsi="方正小标宋简体" w:eastAsia="方正小标宋简体" w:cs="方正小标宋简体"/>
          <w:i w:val="0"/>
          <w:iCs w:val="0"/>
          <w:color w:val="auto"/>
          <w:kern w:val="0"/>
          <w:sz w:val="36"/>
          <w:szCs w:val="36"/>
          <w:highlight w:val="none"/>
          <w:u w:val="none"/>
          <w:lang w:val="en-US" w:eastAsia="zh-CN"/>
        </w:rPr>
        <w:t>《关于推进呼伦贝尔市“十五五”工业经济高质量发展实施方案》任务清单</w:t>
      </w:r>
    </w:p>
    <w:tbl>
      <w:tblPr>
        <w:tblStyle w:val="20"/>
        <w:tblW w:w="15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6"/>
        <w:gridCol w:w="1022"/>
        <w:gridCol w:w="1447"/>
        <w:gridCol w:w="3151"/>
        <w:gridCol w:w="1416"/>
        <w:gridCol w:w="1417"/>
        <w:gridCol w:w="2873"/>
        <w:gridCol w:w="26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3765" w:type="dxa"/>
            <w:gridSpan w:val="3"/>
            <w:tcBorders>
              <w:top w:val="single" w:color="auto" w:sz="12"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重点任务</w:t>
            </w:r>
          </w:p>
        </w:tc>
        <w:tc>
          <w:tcPr>
            <w:tcW w:w="3151"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关键举措</w:t>
            </w:r>
          </w:p>
        </w:tc>
        <w:tc>
          <w:tcPr>
            <w:tcW w:w="1416"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牵头单位</w:t>
            </w:r>
          </w:p>
        </w:tc>
        <w:tc>
          <w:tcPr>
            <w:tcW w:w="1417"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责任单位/地区</w:t>
            </w:r>
          </w:p>
        </w:tc>
        <w:tc>
          <w:tcPr>
            <w:tcW w:w="2873"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2026</w:t>
            </w:r>
            <w:r>
              <w:rPr>
                <w:rFonts w:hint="eastAsia" w:ascii="宋体" w:hAnsi="宋体" w:cs="宋体"/>
                <w:b/>
                <w:bCs/>
                <w:i w:val="0"/>
                <w:iCs w:val="0"/>
                <w:color w:val="auto"/>
                <w:kern w:val="0"/>
                <w:sz w:val="18"/>
                <w:szCs w:val="18"/>
                <w:highlight w:val="none"/>
                <w:u w:val="none"/>
                <w:lang w:val="en-US" w:eastAsia="zh-CN"/>
              </w:rPr>
              <w:t>-2027</w:t>
            </w:r>
            <w:r>
              <w:rPr>
                <w:rFonts w:hint="eastAsia" w:ascii="宋体" w:hAnsi="宋体" w:eastAsia="宋体" w:cs="宋体"/>
                <w:b/>
                <w:bCs/>
                <w:i w:val="0"/>
                <w:iCs w:val="0"/>
                <w:color w:val="auto"/>
                <w:kern w:val="0"/>
                <w:sz w:val="18"/>
                <w:szCs w:val="18"/>
                <w:highlight w:val="none"/>
                <w:u w:val="none"/>
                <w:lang w:val="en-US" w:eastAsia="zh-CN"/>
              </w:rPr>
              <w:t>年（筑基期）</w:t>
            </w:r>
          </w:p>
        </w:tc>
        <w:tc>
          <w:tcPr>
            <w:tcW w:w="2684" w:type="dxa"/>
            <w:tcBorders>
              <w:top w:val="single" w:color="auto" w:sz="12"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2028-20</w:t>
            </w:r>
            <w:r>
              <w:rPr>
                <w:rFonts w:hint="eastAsia" w:ascii="宋体" w:hAnsi="宋体" w:cs="宋体"/>
                <w:b/>
                <w:bCs/>
                <w:i w:val="0"/>
                <w:iCs w:val="0"/>
                <w:color w:val="auto"/>
                <w:kern w:val="0"/>
                <w:sz w:val="18"/>
                <w:szCs w:val="18"/>
                <w:highlight w:val="none"/>
                <w:u w:val="none"/>
                <w:lang w:val="en-US" w:eastAsia="zh-CN"/>
              </w:rPr>
              <w:t>30</w:t>
            </w:r>
            <w:r>
              <w:rPr>
                <w:rFonts w:hint="eastAsia" w:ascii="宋体" w:hAnsi="宋体" w:eastAsia="宋体" w:cs="宋体"/>
                <w:b/>
                <w:bCs/>
                <w:i w:val="0"/>
                <w:iCs w:val="0"/>
                <w:color w:val="auto"/>
                <w:kern w:val="0"/>
                <w:sz w:val="18"/>
                <w:szCs w:val="18"/>
                <w:highlight w:val="none"/>
                <w:u w:val="none"/>
                <w:lang w:val="en-US" w:eastAsia="zh-CN"/>
              </w:rPr>
              <w:t>年（提升期）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35"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一</w:t>
            </w:r>
            <w:r>
              <w:rPr>
                <w:rFonts w:hint="eastAsia" w:ascii="宋体" w:hAnsi="宋体" w:cs="宋体"/>
                <w:i w:val="0"/>
                <w:iCs w:val="0"/>
                <w:color w:val="auto"/>
                <w:kern w:val="0"/>
                <w:sz w:val="16"/>
                <w:szCs w:val="16"/>
                <w:highlight w:val="none"/>
                <w:u w:val="none"/>
                <w:lang w:val="en-US" w:eastAsia="zh-CN"/>
              </w:rPr>
              <w:t>、</w:t>
            </w:r>
            <w:r>
              <w:rPr>
                <w:rFonts w:hint="eastAsia" w:ascii="宋体" w:hAnsi="宋体" w:eastAsia="宋体" w:cs="宋体"/>
                <w:i w:val="0"/>
                <w:iCs w:val="0"/>
                <w:color w:val="auto"/>
                <w:kern w:val="0"/>
                <w:sz w:val="16"/>
                <w:szCs w:val="16"/>
                <w:highlight w:val="none"/>
                <w:u w:val="none"/>
                <w:lang w:val="en-US" w:eastAsia="zh-CN"/>
              </w:rPr>
              <w:t>推进五业协同，实现传统产业升级与新兴产业突破</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cs="宋体"/>
                <w:i w:val="0"/>
                <w:iCs w:val="0"/>
                <w:color w:val="auto"/>
                <w:sz w:val="16"/>
                <w:szCs w:val="16"/>
                <w:highlight w:val="none"/>
                <w:u w:val="none"/>
                <w:lang w:val="en-US" w:eastAsia="zh-CN"/>
              </w:rPr>
              <w:t>（一）</w:t>
            </w:r>
            <w:r>
              <w:rPr>
                <w:rFonts w:hint="eastAsia" w:ascii="宋体" w:hAnsi="宋体" w:eastAsia="宋体" w:cs="宋体"/>
                <w:i w:val="0"/>
                <w:iCs w:val="0"/>
                <w:color w:val="auto"/>
                <w:sz w:val="16"/>
                <w:szCs w:val="16"/>
                <w:highlight w:val="none"/>
                <w:u w:val="none"/>
              </w:rPr>
              <w:t>煤炭产业：稳量提质与绿色智能并进</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cs="宋体"/>
                <w:i w:val="0"/>
                <w:iCs w:val="0"/>
                <w:color w:val="auto"/>
                <w:kern w:val="0"/>
                <w:sz w:val="16"/>
                <w:szCs w:val="16"/>
                <w:highlight w:val="none"/>
                <w:u w:val="none"/>
                <w:lang w:val="en-US" w:eastAsia="zh-CN"/>
              </w:rPr>
              <w:t>1.</w:t>
            </w:r>
            <w:r>
              <w:rPr>
                <w:rFonts w:hint="eastAsia" w:ascii="宋体" w:hAnsi="宋体" w:eastAsia="宋体" w:cs="宋体"/>
                <w:i w:val="0"/>
                <w:iCs w:val="0"/>
                <w:color w:val="auto"/>
                <w:kern w:val="0"/>
                <w:sz w:val="16"/>
                <w:szCs w:val="16"/>
                <w:highlight w:val="none"/>
                <w:u w:val="none"/>
                <w:lang w:val="en-US" w:eastAsia="zh-CN"/>
              </w:rPr>
              <w:t>推动煤炭资源稳定接续发展。</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rPr>
              <w:t>高标准建设国家煤炭供应保障基地，加快推动具备增产潜力的煤矿释放先进产能，盘活空白边角资源、夹缝资源。开展煤炭矿区总体规划编制（修编）工作，为下一步煤炭开发提供充足依据。重点推动华能伊敏煤电有限公司三号露天矿、国能宝日希勒能源有限公司二号露天矿、新巴尔虎左旗胡列也吐矿区嵯北煤矿、伊敏河东矿区第二煤矿、莫拐煤矿、石瓦鲁煤矿、五一牧场等煤矿纳入国家和自治区“十五五”规划，早日开发建设，提升我市煤炭资源接续和自给能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kern w:val="0"/>
                <w:sz w:val="16"/>
                <w:szCs w:val="16"/>
                <w:highlight w:val="none"/>
                <w:u w:val="none"/>
                <w:lang w:val="en-US" w:eastAsia="zh-CN"/>
              </w:rPr>
              <w:t>自然资源局、林草局、发展改革委、生态环境局、水利局、应急管理局，新左旗、新右旗、鄂温克旗、牙克石市、陈巴尔虎旗</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1.推动西乌日图、胡列也吐、五九煤炭矿区总体规划获批；推动华</w:t>
            </w:r>
            <w:r>
              <w:rPr>
                <w:rFonts w:hint="eastAsia" w:ascii="宋体" w:hAnsi="宋体" w:eastAsia="宋体" w:cs="宋体"/>
                <w:i w:val="0"/>
                <w:iCs w:val="0"/>
                <w:color w:val="auto"/>
                <w:kern w:val="0"/>
                <w:sz w:val="16"/>
                <w:szCs w:val="16"/>
                <w:highlight w:val="none"/>
                <w:u w:val="none"/>
                <w:lang w:val="en-US" w:eastAsia="zh-CN"/>
              </w:rPr>
              <w:t>能伊敏煤电有限公司三号露天矿、国能宝日希勒能源有限公司二号露天矿、新巴尔虎左旗胡列也吐矿区嵯北煤矿、伊敏河东矿区第二煤矿、莫拐煤矿、石瓦鲁煤矿、五一牧场等煤矿</w:t>
            </w:r>
            <w:r>
              <w:rPr>
                <w:rFonts w:hint="eastAsia" w:ascii="宋体" w:hAnsi="宋体" w:cs="宋体"/>
                <w:i w:val="0"/>
                <w:iCs w:val="0"/>
                <w:color w:val="auto"/>
                <w:kern w:val="0"/>
                <w:sz w:val="16"/>
                <w:szCs w:val="16"/>
                <w:highlight w:val="none"/>
                <w:u w:val="none"/>
                <w:lang w:val="en-US" w:eastAsia="zh-CN"/>
              </w:rPr>
              <w:t>开展前期手续办理。</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2.</w:t>
            </w:r>
            <w:r>
              <w:rPr>
                <w:rFonts w:hint="eastAsia" w:ascii="宋体" w:hAnsi="宋体" w:cs="宋体"/>
                <w:i w:val="0"/>
                <w:iCs w:val="0"/>
                <w:color w:val="auto"/>
                <w:sz w:val="16"/>
                <w:szCs w:val="16"/>
                <w:highlight w:val="none"/>
                <w:u w:val="none"/>
                <w:lang w:val="en-US" w:eastAsia="zh-CN"/>
              </w:rPr>
              <w:t>推动牙克石五九煤炭集团牙星一号井、陈旗宝日希勒露天矿、东明煤矿、金源煤矿、扎赉诺尔区灵泉煤矿、额尔古纳惠通、鑫星、鑫泰煤矿等整合</w:t>
            </w:r>
            <w:r>
              <w:rPr>
                <w:rFonts w:hint="eastAsia" w:ascii="宋体" w:hAnsi="宋体" w:eastAsia="宋体" w:cs="宋体"/>
                <w:i w:val="0"/>
                <w:iCs w:val="0"/>
                <w:color w:val="auto"/>
                <w:kern w:val="0"/>
                <w:sz w:val="16"/>
                <w:szCs w:val="16"/>
                <w:highlight w:val="none"/>
                <w:u w:val="none"/>
                <w:lang w:val="en-US" w:eastAsia="zh-CN"/>
              </w:rPr>
              <w:t>空白边角资源、夹缝资源</w:t>
            </w:r>
            <w:r>
              <w:rPr>
                <w:rFonts w:hint="eastAsia" w:ascii="宋体" w:hAnsi="宋体" w:cs="宋体"/>
                <w:i w:val="0"/>
                <w:iCs w:val="0"/>
                <w:color w:val="auto"/>
                <w:kern w:val="0"/>
                <w:sz w:val="16"/>
                <w:szCs w:val="16"/>
                <w:highlight w:val="none"/>
                <w:u w:val="none"/>
                <w:lang w:val="en-US" w:eastAsia="zh-CN"/>
              </w:rPr>
              <w:t>。</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1.推动华能伊敏煤电有限公司三号露天矿、国能宝日希勒能源有限公司二号露天矿、新巴尔虎左旗胡列也吐矿区嵯北煤矿、伊敏河东矿区第二煤矿、莫拐煤矿、石瓦鲁煤矿、五一牧场等煤矿</w:t>
            </w:r>
            <w:r>
              <w:rPr>
                <w:rFonts w:hint="eastAsia" w:ascii="宋体" w:hAnsi="宋体" w:cs="宋体"/>
                <w:i w:val="0"/>
                <w:iCs w:val="0"/>
                <w:color w:val="auto"/>
                <w:kern w:val="0"/>
                <w:sz w:val="16"/>
                <w:szCs w:val="16"/>
                <w:highlight w:val="none"/>
                <w:u w:val="none"/>
                <w:lang w:val="en-US" w:eastAsia="zh-CN"/>
              </w:rPr>
              <w:t>开发建设。</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2.推动新左旗五一牧场区煤炭资源勘探、嵯北区煤炭资源勘探、鄂温克旗伊敏河东区二井勘探、牙克石莫拐矿区煤炭勘探等煤炭探矿权转采工作。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105"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rPr>
              <w:t>加大煤矿智能化建设力度。</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rPr>
              <w:t>全面落实自治区推进煤矿智能化建设行动实施方案，加快智能化采煤工作面、智能化掘进工作面建设，在储量大、现场管理好、技术人员配备强的露天煤矿，推动无人驾驶试验应用；到2026年底，全市生产煤矿全部完成智能化建设，服务年限大于10年的大型露天煤矿要完成智能化中级提档升级。</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cs="宋体"/>
                <w:i w:val="0"/>
                <w:iCs w:val="0"/>
                <w:color w:val="auto"/>
                <w:kern w:val="0"/>
                <w:sz w:val="16"/>
                <w:szCs w:val="16"/>
                <w:highlight w:val="none"/>
                <w:u w:val="none"/>
                <w:lang w:val="en-US" w:eastAsia="zh-CN"/>
              </w:rPr>
              <w:t>市</w:t>
            </w:r>
            <w:r>
              <w:rPr>
                <w:rFonts w:hint="eastAsia" w:ascii="宋体" w:hAnsi="宋体" w:eastAsia="宋体" w:cs="宋体"/>
                <w:i w:val="0"/>
                <w:iCs w:val="0"/>
                <w:color w:val="auto"/>
                <w:kern w:val="0"/>
                <w:sz w:val="16"/>
                <w:szCs w:val="16"/>
                <w:highlight w:val="none"/>
                <w:u w:val="none"/>
                <w:lang w:val="en-US" w:eastAsia="zh-CN"/>
              </w:rPr>
              <w:t>应急管理局、科技局，新右旗、鄂温克旗、牙克石市、海拉尔区、扎赉诺尔区、陈巴尔虎旗</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kern w:val="0"/>
                <w:sz w:val="16"/>
                <w:szCs w:val="16"/>
                <w:highlight w:val="none"/>
                <w:u w:val="none"/>
                <w:lang w:val="en-US" w:eastAsia="zh-CN"/>
              </w:rPr>
              <w:t>全市生产煤矿全部完成智能化建设，服务年限大于10年的大型露天煤矿要完成智能化中级提档升级。</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按照国家和自治区相关要求，逐步推动所有在产煤矿完成智能化中级提档升级。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920"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3.</w:t>
            </w:r>
            <w:r>
              <w:rPr>
                <w:rFonts w:hint="eastAsia" w:ascii="宋体" w:hAnsi="宋体" w:eastAsia="宋体" w:cs="宋体"/>
                <w:i w:val="0"/>
                <w:iCs w:val="0"/>
                <w:color w:val="auto"/>
                <w:kern w:val="0"/>
                <w:sz w:val="16"/>
                <w:szCs w:val="16"/>
                <w:highlight w:val="none"/>
                <w:u w:val="none"/>
                <w:lang w:val="en-US" w:eastAsia="zh-CN"/>
              </w:rPr>
              <w:t>加强矿山生态修复。</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严格落实矿山地质环境治理恢复基金管理制度，督促煤矿企业履行生态修复主体责任，实现应治尽治；推广“矿山复绿+生态农业”“矿山复绿+旅游开发”等复合模式，实现煤矿开采与生态保护同步推进。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市自然资源局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市生态环境局、文旅广局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督促煤矿企业规范计提基金，结合矿山实际做好“边开采、边修复”或“分区、分期”治理，全市煤矿企业矿区生态修复治理取得一定成效。</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督促煤矿企业规范计提基金，结合矿山实际做好“边开采、边修复”或“分区、分期”治理，全市煤矿企业矿区生态修复治理取得显著成效。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7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4.</w:t>
            </w:r>
            <w:r>
              <w:rPr>
                <w:rFonts w:hint="eastAsia" w:ascii="宋体" w:hAnsi="宋体" w:eastAsia="宋体" w:cs="宋体"/>
                <w:i w:val="0"/>
                <w:iCs w:val="0"/>
                <w:color w:val="auto"/>
                <w:kern w:val="0"/>
                <w:sz w:val="16"/>
                <w:szCs w:val="16"/>
                <w:highlight w:val="none"/>
                <w:u w:val="none"/>
                <w:lang w:val="en-US" w:eastAsia="zh-CN"/>
              </w:rPr>
              <w:t>优化产能布局。</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在保障国家电煤供应的基础上，依法依规推动煤矿资源有序开发利用，推动西乌日图、胡列也吐、五一牧场等煤炭矿区总规修编，按照国家和自治区批复总规，科学划定煤矿开采区域，避免过度开采；科学调配资源，保障重点项目用煤及新能源外送调峰用煤需求；推动优质产能向优势企业集中，淘汰落后产能，加快13座长期停产停建煤矿分类处置工作，提升煤炭产业整体竞争力和抗风险能力。依托口岸优势，推动煤炭加工洗选产业落地。</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市工信局、自然资源局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1.推动12座长期停产停建煤矿分类处置；推动满洲里光明煤矿改扩建项目取得核准，新增产能120万吨。</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2.推动牙克石五九煤炭集团牙星一号井、陈旗宝日希勒露天矿、东明煤矿、金源煤矿、扎赉诺尔区灵泉煤矿、额尔古纳惠通、鑫星、鑫泰煤矿等整合</w:t>
            </w:r>
            <w:r>
              <w:rPr>
                <w:rFonts w:hint="eastAsia" w:ascii="宋体" w:hAnsi="宋体" w:eastAsia="宋体" w:cs="宋体"/>
                <w:i w:val="0"/>
                <w:iCs w:val="0"/>
                <w:color w:val="auto"/>
                <w:kern w:val="0"/>
                <w:sz w:val="16"/>
                <w:szCs w:val="16"/>
                <w:highlight w:val="none"/>
                <w:u w:val="none"/>
                <w:lang w:val="en-US" w:eastAsia="zh-CN"/>
              </w:rPr>
              <w:t>空白边角资源、夹缝资源</w:t>
            </w:r>
            <w:r>
              <w:rPr>
                <w:rFonts w:hint="eastAsia" w:ascii="宋体" w:hAnsi="宋体" w:cs="宋体"/>
                <w:i w:val="0"/>
                <w:iCs w:val="0"/>
                <w:color w:val="auto"/>
                <w:kern w:val="0"/>
                <w:sz w:val="16"/>
                <w:szCs w:val="16"/>
                <w:highlight w:val="none"/>
                <w:u w:val="none"/>
                <w:lang w:val="en-US" w:eastAsia="zh-CN"/>
              </w:rPr>
              <w:t>。</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1.进一步优化煤矿产能结构，提高大型煤矿产能占比，力争大型煤矿产能占比达到100%。</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2.推动新左旗五一牧场区煤炭资源勘探、嵯北区煤炭资源勘探、鄂温克旗伊敏河东区二井勘探、牙克石莫拐矿区煤炭勘探等煤炭探矿权转采工作。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31"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一、</w:t>
            </w:r>
            <w:r>
              <w:rPr>
                <w:rFonts w:hint="eastAsia" w:ascii="宋体" w:hAnsi="宋体" w:eastAsia="宋体" w:cs="宋体"/>
                <w:i w:val="0"/>
                <w:iCs w:val="0"/>
                <w:color w:val="auto"/>
                <w:kern w:val="0"/>
                <w:sz w:val="16"/>
                <w:szCs w:val="16"/>
                <w:highlight w:val="none"/>
                <w:u w:val="none"/>
                <w:lang w:val="en-US" w:eastAsia="zh-CN"/>
              </w:rPr>
              <w:t>推进五业协同，实现传统产业升级与新兴产业突破</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（二）</w:t>
            </w:r>
            <w:r>
              <w:rPr>
                <w:rFonts w:hint="eastAsia" w:ascii="宋体" w:hAnsi="宋体" w:eastAsia="宋体" w:cs="宋体"/>
                <w:i w:val="0"/>
                <w:iCs w:val="0"/>
                <w:color w:val="auto"/>
                <w:kern w:val="0"/>
                <w:sz w:val="16"/>
                <w:szCs w:val="16"/>
                <w:highlight w:val="none"/>
                <w:u w:val="none"/>
                <w:lang w:val="en-US" w:eastAsia="zh-CN"/>
              </w:rPr>
              <w:t>电力产业：外送消纳与绿色转型协同</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5.</w:t>
            </w:r>
            <w:r>
              <w:rPr>
                <w:rFonts w:hint="eastAsia" w:ascii="宋体" w:hAnsi="宋体" w:eastAsia="宋体" w:cs="宋体"/>
                <w:i w:val="0"/>
                <w:iCs w:val="0"/>
                <w:color w:val="auto"/>
                <w:kern w:val="0"/>
                <w:sz w:val="16"/>
                <w:szCs w:val="16"/>
                <w:highlight w:val="none"/>
                <w:u w:val="none"/>
                <w:lang w:val="en-US" w:eastAsia="zh-CN"/>
              </w:rPr>
              <w:t>推进增量配电网试点建设。</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开展增量配电网规划编制工作，为零碳、低碳园区谋划建设提供坚实支撑。重点推动在呼伦贝尔市经济技术开发区、满洲里产业协作园区和海拉尔区、阿荣旗、扎赉诺尔区等工业园区开展供电区域划分、绿电电源布局和负荷项目招引落地等工作，全面提升我市园区和重点区域供电保障能力与供电服务水平，打造局部电价“洼地”。</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海拉尔区、满洲里市、</w:t>
            </w:r>
            <w:r>
              <w:rPr>
                <w:rFonts w:hint="eastAsia" w:ascii="宋体" w:hAnsi="宋体" w:cs="宋体"/>
                <w:i w:val="0"/>
                <w:iCs w:val="0"/>
                <w:color w:val="auto"/>
                <w:kern w:val="0"/>
                <w:sz w:val="16"/>
                <w:szCs w:val="16"/>
                <w:highlight w:val="none"/>
                <w:u w:val="none"/>
                <w:lang w:val="en-US" w:eastAsia="zh-CN"/>
              </w:rPr>
              <w:t>牙克石、</w:t>
            </w:r>
            <w:r>
              <w:rPr>
                <w:rFonts w:hint="eastAsia" w:ascii="宋体" w:hAnsi="宋体" w:eastAsia="宋体" w:cs="宋体"/>
                <w:i w:val="0"/>
                <w:iCs w:val="0"/>
                <w:color w:val="auto"/>
                <w:kern w:val="0"/>
                <w:sz w:val="16"/>
                <w:szCs w:val="16"/>
                <w:highlight w:val="none"/>
                <w:u w:val="none"/>
                <w:lang w:val="en-US" w:eastAsia="zh-CN"/>
              </w:rPr>
              <w:t>阿荣旗、扎赉诺尔区，经开区，国网呼伦贝尔供电公司</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推动具备条件的园区增量配电网试点项目区域划分及规划编制工作，并邀请第三方机构评审后报送至自治区能源局完成备案。</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优选具备条件的园区增量配电网试点项目业主，并同步推进增量配电网区域负荷企业招引工作，力争2030年前建成2个园区增量配电网项目，强化绿电消纳能力，打造局部电价“洼地”。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78"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6.</w:t>
            </w:r>
            <w:r>
              <w:rPr>
                <w:rFonts w:hint="eastAsia" w:ascii="宋体" w:hAnsi="宋体" w:eastAsia="宋体" w:cs="宋体"/>
                <w:i w:val="0"/>
                <w:iCs w:val="0"/>
                <w:color w:val="auto"/>
                <w:kern w:val="0"/>
                <w:sz w:val="16"/>
                <w:szCs w:val="16"/>
                <w:highlight w:val="none"/>
                <w:u w:val="none"/>
                <w:lang w:val="en-US" w:eastAsia="zh-CN"/>
              </w:rPr>
              <w:t>推动独立储能项目接续发展。</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聚焦区域网架结构优化升级，持续提升电网调节能力和新能源就地消纳能力。加快推进扎兰屯市50万千瓦独立储能电站项目、呼伦贝尔海北500千伏变电站独立储能电站项目、阿荣旗2个20万千瓦独立储能电站项目、岭东500千伏变电站20万千瓦独立储能电站项目纳入自治区储能规划并加快建设，积极推进扎赉诺尔区布局独立储能项目，推动构建安全稳定、高效灵活的新型电力系统。</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海拉尔区、扎兰屯市、阿荣旗，</w:t>
            </w:r>
            <w:r>
              <w:rPr>
                <w:rFonts w:hint="eastAsia" w:ascii="宋体" w:hAnsi="宋体" w:cs="宋体"/>
                <w:i w:val="0"/>
                <w:iCs w:val="0"/>
                <w:color w:val="auto"/>
                <w:kern w:val="0"/>
                <w:sz w:val="16"/>
                <w:szCs w:val="16"/>
                <w:highlight w:val="none"/>
                <w:u w:val="none"/>
                <w:lang w:val="en-US" w:eastAsia="zh-CN"/>
              </w:rPr>
              <w:t>经开区，</w:t>
            </w:r>
            <w:r>
              <w:rPr>
                <w:rFonts w:hint="eastAsia" w:ascii="宋体" w:hAnsi="宋体" w:eastAsia="宋体" w:cs="宋体"/>
                <w:i w:val="0"/>
                <w:iCs w:val="0"/>
                <w:color w:val="auto"/>
                <w:kern w:val="0"/>
                <w:sz w:val="16"/>
                <w:szCs w:val="16"/>
                <w:highlight w:val="none"/>
                <w:u w:val="none"/>
                <w:lang w:val="en-US" w:eastAsia="zh-CN"/>
              </w:rPr>
              <w:t>国网呼伦贝尔供电公司</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积极争取自治区能源局支持，推进扎兰屯市50万千瓦独立储能电站项目、呼伦贝尔海北500千伏变电站独立储能电站项目、阿荣旗2个20万千瓦独立储能电站项目、岭东500千伏变电站20万千瓦独立储能电站项目纳入自治区储能规划，</w:t>
            </w:r>
            <w:r>
              <w:rPr>
                <w:rFonts w:hint="eastAsia" w:ascii="宋体" w:hAnsi="宋体" w:cs="宋体"/>
                <w:i w:val="0"/>
                <w:iCs w:val="0"/>
                <w:color w:val="auto"/>
                <w:sz w:val="16"/>
                <w:szCs w:val="16"/>
                <w:highlight w:val="none"/>
                <w:u w:val="none"/>
                <w:lang w:val="en-US" w:eastAsia="zh-CN"/>
              </w:rPr>
              <w:t>全面</w:t>
            </w:r>
            <w:r>
              <w:rPr>
                <w:rFonts w:hint="eastAsia" w:ascii="宋体" w:hAnsi="宋体" w:eastAsia="宋体" w:cs="宋体"/>
                <w:i w:val="0"/>
                <w:iCs w:val="0"/>
                <w:color w:val="auto"/>
                <w:sz w:val="16"/>
                <w:szCs w:val="16"/>
                <w:highlight w:val="none"/>
                <w:u w:val="none"/>
                <w:lang w:val="en-US" w:eastAsia="zh-CN"/>
              </w:rPr>
              <w:t>推进</w:t>
            </w:r>
            <w:r>
              <w:rPr>
                <w:rFonts w:hint="eastAsia" w:ascii="宋体" w:hAnsi="宋体" w:cs="宋体"/>
                <w:i w:val="0"/>
                <w:iCs w:val="0"/>
                <w:color w:val="auto"/>
                <w:sz w:val="16"/>
                <w:szCs w:val="16"/>
                <w:highlight w:val="none"/>
                <w:u w:val="none"/>
                <w:lang w:val="en-US" w:eastAsia="zh-CN"/>
              </w:rPr>
              <w:t>在</w:t>
            </w:r>
            <w:r>
              <w:rPr>
                <w:rFonts w:hint="eastAsia" w:ascii="宋体" w:hAnsi="宋体" w:eastAsia="宋体" w:cs="宋体"/>
                <w:i w:val="0"/>
                <w:iCs w:val="0"/>
                <w:color w:val="auto"/>
                <w:sz w:val="16"/>
                <w:szCs w:val="16"/>
                <w:highlight w:val="none"/>
                <w:u w:val="none"/>
                <w:lang w:val="en-US" w:eastAsia="zh-CN"/>
              </w:rPr>
              <w:t>扎赉诺尔区</w:t>
            </w:r>
            <w:r>
              <w:rPr>
                <w:rFonts w:hint="eastAsia" w:ascii="宋体" w:hAnsi="宋体" w:cs="宋体"/>
                <w:i w:val="0"/>
                <w:iCs w:val="0"/>
                <w:color w:val="auto"/>
                <w:sz w:val="16"/>
                <w:szCs w:val="16"/>
                <w:highlight w:val="none"/>
                <w:u w:val="none"/>
                <w:lang w:val="en-US" w:eastAsia="zh-CN"/>
              </w:rPr>
              <w:t>布局</w:t>
            </w:r>
            <w:r>
              <w:rPr>
                <w:rFonts w:hint="eastAsia" w:ascii="宋体" w:hAnsi="宋体" w:eastAsia="宋体" w:cs="宋体"/>
                <w:i w:val="0"/>
                <w:iCs w:val="0"/>
                <w:color w:val="auto"/>
                <w:sz w:val="16"/>
                <w:szCs w:val="16"/>
                <w:highlight w:val="none"/>
                <w:u w:val="none"/>
                <w:lang w:val="en-US" w:eastAsia="zh-CN"/>
              </w:rPr>
              <w:t>独立储能项目</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建成扎兰屯市50万千瓦独立储能电站项目、呼伦贝尔海北500千伏变电站独立储能电站项目。</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持续谋划布局储能项目，推动建成阿荣旗2个20万千瓦独立储能电站项目、岭东500千伏变电站20万千瓦独立储能电站项目，力争2030年全市储能规模达到300万千瓦，构建安全稳定、高效灵活的新型电力系统。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7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7.提升煤电保障和系统调节能力水平。</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夯实煤电基础保障和支撑调节作用，适度发展民生保障型热电联产项目。推进煤电机组低碳化改造，推广生物质掺烧、绿氨掺烧等低碳技术，降低煤耗和碳排放强度，鼓励行业企业探索开展二氧化碳捕集利用与封存（CCUS）试点项目。加快满洲里热电厂扩建2台35万千瓦热电联产煤电一体化及灵改配建新能源项目建成投产，重点推动额尔古纳城运热电厂生物质掺烧项目落地实施，推进牙克石发电有限公司35万千瓦二期项目列入国家规划并开工建设，增强我市火电供应保障能力，加快向系统调节性电源转型，助力我市构建清洁低碳、安全高效的现代能源体系。</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市自然资源局、生态环境局、林草局、文旅广局，牙克石市、额尔古纳市、扎赉诺尔区，华能蒙东能源公司</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推动满洲里热电厂扩建2台35万千瓦热电联产煤电一体化及灵改配建新能源项目建成投运。推动牙克石发电有限公司35万千瓦二期项目纳入国家规划，并推进前期工作。推进煤电机组低碳化改造，推进额尔古纳城运热电厂生物质掺烧项目建成投产，加快国能呼伦贝尔发电公司和国能鄂温克电厂完成通流改造。</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待伊敏电厂1期火电机组设计寿命到期后，开展等容量替代前期工作或延寿改造。推广生物质掺烧、绿氨掺烧等低碳技术，探索开展二氧化碳捕集利用与封存（CCUS）试点项目，助力我市构建清洁低碳、安全高效的现代能源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390"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8.</w:t>
            </w:r>
            <w:r>
              <w:rPr>
                <w:rFonts w:hint="eastAsia" w:ascii="宋体" w:hAnsi="宋体" w:eastAsia="宋体" w:cs="宋体"/>
                <w:i w:val="0"/>
                <w:iCs w:val="0"/>
                <w:color w:val="auto"/>
                <w:kern w:val="0"/>
                <w:sz w:val="16"/>
                <w:szCs w:val="16"/>
                <w:highlight w:val="none"/>
                <w:u w:val="none"/>
                <w:lang w:val="en-US" w:eastAsia="zh-CN"/>
              </w:rPr>
              <w:t>深化电网工程建设提档升级。</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开展实施网架结构优化工程，为构建新型电力系统提供坚实支撑。重点推进呼伦贝尔新能源外送通道前期工作，加快区域主干网架补强、增强配电网韧性、农网巩固提升等工程建设，逐步解决低电压、频繁停电等电网短板问题。加快解决林区双回线路和牧区偏远农牧户通网电问题，有效增强农区电采暖负荷、高标准农田保供能力，提升我市电力系统输电能力、供电可靠性和智能化水平。</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市自然资源局、林草局、文旅广局</w:t>
            </w:r>
            <w:r>
              <w:rPr>
                <w:rFonts w:hint="eastAsia" w:ascii="宋体" w:hAnsi="宋体" w:cs="宋体"/>
                <w:i w:val="0"/>
                <w:iCs w:val="0"/>
                <w:color w:val="auto"/>
                <w:kern w:val="0"/>
                <w:sz w:val="16"/>
                <w:szCs w:val="16"/>
                <w:highlight w:val="none"/>
                <w:u w:val="none"/>
                <w:lang w:val="en-US" w:eastAsia="zh-CN"/>
              </w:rPr>
              <w:t>，</w:t>
            </w:r>
            <w:r>
              <w:rPr>
                <w:rFonts w:hint="eastAsia" w:ascii="宋体" w:hAnsi="宋体" w:eastAsia="宋体" w:cs="宋体"/>
                <w:i w:val="0"/>
                <w:iCs w:val="0"/>
                <w:color w:val="auto"/>
                <w:kern w:val="0"/>
                <w:sz w:val="16"/>
                <w:szCs w:val="16"/>
                <w:highlight w:val="none"/>
                <w:u w:val="none"/>
                <w:lang w:val="en-US" w:eastAsia="zh-CN"/>
              </w:rPr>
              <w:t>各旗市区，国网呼伦贝尔供电公司</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一是强化网架结构，提升供电保障能力。消除根河薄弱供电县域及4组单辐射多级串供问题，消除单线站20座、重过载变电站2座、重过载线路2条、老旧变电站6座、老旧主供线路5条，电网韧性和供电可靠性实现显著提升。积极推动电采暖专项规划成果转化，在岭东地区新增电源布点4座、新增主变24台，新增主变容量520.5兆伏安，增强电采暖负荷接带与保供能力。二是积极配合深化地区特高压外送通道规划方案研究，全力服务呼伦贝尔能源大基地建设。持续优化规划项目选址选线成果，将“十五五”电网规划项目纳入各级政府规划及国土空间规划。三是加快推进新建新能源项目配套送出工程建设，确保及时并网接入。</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lang w:val="en-US" w:eastAsia="zh-CN"/>
              </w:rPr>
              <w:t>一是持续紧盯电网薄弱环节，结合新左旗巴日图、陈旗八大关35kV输变电工程延伸大电网供电范围，解决无网电用户通电问题。二是面对地区换电重卡、高标准农田等新要素负荷快速发展，同步深化专项规划研究，并推动成果落地转化。前瞻研判未来趋势，开展分布式储能优化配置、微电网群协同运行等前沿课题研究，构建适应呼伦贝尔高比例新能源与多元负荷互动的新型配电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65"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一、</w:t>
            </w:r>
            <w:r>
              <w:rPr>
                <w:rFonts w:hint="eastAsia" w:ascii="宋体" w:hAnsi="宋体" w:eastAsia="宋体" w:cs="宋体"/>
                <w:i w:val="0"/>
                <w:iCs w:val="0"/>
                <w:color w:val="auto"/>
                <w:kern w:val="0"/>
                <w:sz w:val="16"/>
                <w:szCs w:val="16"/>
                <w:highlight w:val="none"/>
                <w:u w:val="none"/>
                <w:lang w:val="en-US" w:eastAsia="zh-CN"/>
              </w:rPr>
              <w:t>推进五业协同，实现传统产业升级与新兴产业突破</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（三）</w:t>
            </w:r>
            <w:r>
              <w:rPr>
                <w:rFonts w:hint="eastAsia" w:ascii="宋体" w:hAnsi="宋体" w:cs="宋体"/>
                <w:i w:val="0"/>
                <w:iCs w:val="0"/>
                <w:color w:val="auto"/>
                <w:kern w:val="0"/>
                <w:sz w:val="16"/>
                <w:szCs w:val="16"/>
                <w:highlight w:val="none"/>
                <w:u w:val="none"/>
                <w:lang w:val="en-US"/>
              </w:rPr>
              <w:t>新能源产业：全链拓展与多元价值跃升</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9.提高新能源开发水平。</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坚持提高新能源供给比重，科学建设岭东地区风电集中开发带，探索风光开发与生态保护结合模式，推动沙地、盐碱地等区域大型风光项目建设。重点在岭西布局“沙戈荒”新能源基地，大力推进绿电外送通道，推动1200万千瓦大型风光基地、4×66万千瓦火电调峰电源及配套165万千瓦×4小时新型储能项目建设。系统推进资源整合与基地开发，最大限度释放区域新能源资源潜力，持续提升新能源输送能力和消纳水平。</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市工信局、自然资源局、林草局、阿荣旗、扎兰屯市、莫旗、鄂温克旗、陈旗、新左旗</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推动岭东地区集中式风电项目建成并网，加快绿电外送通道前期。</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rPr>
              <w:t>绿电外送通道取得阶段性进展，探索风光与生态保护结合，新能源装机规模合理增长。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10.推动发展绿氢产业。</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依托自治区“蒙东振兴措施”政策红利，全力融入蒙东绿色氢氨醇基地建设。重点发展绿氢制绿色航煤、绿色甲醇、绿氨产业链，推动氢能与化工、交通、农业、文旅、电力等领域深度融合，探索氢能重卡、动力装备、氮肥生产及备用电源等多元化应用场景。同步布局</w:t>
            </w:r>
            <w:r>
              <w:rPr>
                <w:rFonts w:hint="eastAsia" w:ascii="宋体" w:hAnsi="宋体" w:cs="宋体"/>
                <w:i w:val="0"/>
                <w:iCs w:val="0"/>
                <w:strike w:val="0"/>
                <w:dstrike w:val="0"/>
                <w:color w:val="auto"/>
                <w:kern w:val="0"/>
                <w:sz w:val="16"/>
                <w:szCs w:val="16"/>
                <w:highlight w:val="none"/>
                <w:u w:val="none"/>
                <w:lang w:val="en-US" w:eastAsia="zh-CN"/>
              </w:rPr>
              <w:t>交通物流、公共交通等专用加氢站，构建“车—站”协同网络</w:t>
            </w:r>
            <w:r>
              <w:rPr>
                <w:rFonts w:hint="eastAsia" w:ascii="宋体" w:hAnsi="宋体" w:cs="宋体"/>
                <w:i w:val="0"/>
                <w:iCs w:val="0"/>
                <w:color w:val="auto"/>
                <w:kern w:val="0"/>
                <w:sz w:val="16"/>
                <w:szCs w:val="16"/>
                <w:highlight w:val="none"/>
                <w:u w:val="none"/>
                <w:lang w:val="en-US" w:eastAsia="zh-CN"/>
              </w:rPr>
              <w:t>，推动新能源从单一发电向高附加值产业升级。</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市能源局、</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市发展改革委、交通局、农牧局、文旅广局，各旗市区、经开区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依托阿荣旗、经开区</w:t>
            </w:r>
            <w:r>
              <w:rPr>
                <w:rFonts w:hint="eastAsia" w:ascii="宋体" w:hAnsi="宋体" w:cs="宋体"/>
                <w:i w:val="0"/>
                <w:iCs w:val="0"/>
                <w:color w:val="auto"/>
                <w:kern w:val="0"/>
                <w:sz w:val="16"/>
                <w:szCs w:val="16"/>
                <w:highlight w:val="none"/>
                <w:u w:val="none"/>
                <w:lang w:val="en-US" w:eastAsia="zh-CN"/>
              </w:rPr>
              <w:t>工业</w:t>
            </w:r>
            <w:r>
              <w:rPr>
                <w:rFonts w:hint="eastAsia" w:ascii="宋体" w:hAnsi="宋体" w:eastAsia="宋体" w:cs="宋体"/>
                <w:i w:val="0"/>
                <w:iCs w:val="0"/>
                <w:color w:val="auto"/>
                <w:kern w:val="0"/>
                <w:sz w:val="16"/>
                <w:szCs w:val="16"/>
                <w:highlight w:val="none"/>
                <w:u w:val="none"/>
                <w:lang w:val="en-US" w:eastAsia="zh-CN"/>
              </w:rPr>
              <w:t>园区谋划布局风光制氢氨醇一体化项目，推动阿荣旗100万千瓦风光制氢制航空燃油项目建设。探索氢能重卡应用场景。</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积极推动氢能与化工、交通、农业、文旅、电力等领域深度融合，持续探索氢能装备、氮肥生产及备用电源等多元化应用场景。同步布局交通物流、公共交通等专用加氢站，构建“车—站”协同网络。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31"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11.完善丰富新能源开发场景。</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统筹推动分布式能源项目建设，科学有序推进水电开发，推进牙克石100万千瓦抽水蓄能项目前期手续办理。挖掘生物质能潜力，利用我市丰富的农作物秸秆等生物质资源，发展生物质制甲醇等产业，提高生物质能利用效率，形成多元化的新能源供应体系。落实要素保障，加大用地、用水等保障力度，及时将分布式能源项目纳入国土空间规划，简化占用林地审批流程，助推项目落地。</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市能源局、</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发展改革委</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市工信局、自然资源局、林草局、农牧局，各旗市区、经开区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1.加快牙克石100万千瓦抽水蓄能项目业主优选及前期手续办理。依托经开区谋划推动生物质甲醇项目，有序开发分布式能源。</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2.</w:t>
            </w:r>
            <w:r>
              <w:rPr>
                <w:rFonts w:hint="eastAsia" w:ascii="宋体" w:hAnsi="宋体" w:cs="宋体"/>
                <w:i w:val="0"/>
                <w:iCs w:val="0"/>
                <w:color w:val="auto"/>
                <w:sz w:val="16"/>
                <w:szCs w:val="16"/>
                <w:highlight w:val="none"/>
                <w:u w:val="none"/>
                <w:lang w:val="en-US" w:eastAsia="zh-CN"/>
              </w:rPr>
              <w:t>科学开展国土空间总体规划动态调整完善，</w:t>
            </w:r>
            <w:r>
              <w:rPr>
                <w:rFonts w:hint="eastAsia" w:ascii="宋体" w:hAnsi="宋体" w:cs="宋体"/>
                <w:i w:val="0"/>
                <w:iCs w:val="0"/>
                <w:color w:val="auto"/>
                <w:kern w:val="0"/>
                <w:sz w:val="16"/>
                <w:szCs w:val="16"/>
                <w:highlight w:val="none"/>
                <w:u w:val="none"/>
                <w:lang w:val="en-US" w:eastAsia="zh-CN"/>
              </w:rPr>
              <w:t>及时将分布式能源项目纳入国土空间规划，</w:t>
            </w:r>
            <w:r>
              <w:rPr>
                <w:rFonts w:hint="eastAsia" w:ascii="宋体" w:hAnsi="宋体" w:cs="宋体"/>
                <w:i w:val="0"/>
                <w:iCs w:val="0"/>
                <w:color w:val="auto"/>
                <w:sz w:val="16"/>
                <w:szCs w:val="16"/>
                <w:highlight w:val="none"/>
                <w:u w:val="none"/>
                <w:lang w:val="en-US" w:eastAsia="zh-CN"/>
              </w:rPr>
              <w:t>保障用地需求。</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w:t>
            </w:r>
            <w:r>
              <w:rPr>
                <w:rFonts w:hint="eastAsia" w:ascii="宋体" w:hAnsi="宋体" w:eastAsia="宋体" w:cs="宋体"/>
                <w:i w:val="0"/>
                <w:iCs w:val="0"/>
                <w:color w:val="auto"/>
                <w:kern w:val="0"/>
                <w:sz w:val="16"/>
                <w:szCs w:val="16"/>
                <w:highlight w:val="none"/>
                <w:u w:val="none"/>
                <w:lang w:val="en-US" w:eastAsia="zh-CN"/>
              </w:rPr>
              <w:t>牙克石抽水蓄能项目取得阶段性进展，推动生物质利用项目落地，全力促进风光制氢氨醇项目落地投产，有序建成分布式能源项目。</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2.开展国土</w:t>
            </w:r>
            <w:r>
              <w:rPr>
                <w:rFonts w:hint="eastAsia" w:ascii="宋体" w:hAnsi="宋体" w:cs="宋体"/>
                <w:i w:val="0"/>
                <w:iCs w:val="0"/>
                <w:color w:val="auto"/>
                <w:kern w:val="0"/>
                <w:sz w:val="16"/>
                <w:szCs w:val="16"/>
                <w:highlight w:val="none"/>
                <w:u w:val="none"/>
                <w:lang w:val="en-US" w:eastAsia="zh-CN"/>
              </w:rPr>
              <w:t>空间规划城市体检，及时更新规划重点项目清单。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51"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12.拓宽就地消纳渠道。</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引导新能源自发自用，以市场为导向，在经开区等重点工业园区探索“产业驱动—绿电直供”协同发展模式，按照“以荷定源”原则，推动高载能产业绿电供应，推行绿电直供试点，降低企业用电成本。谋划推动一批自发自用、新增负荷绿电直连、绿色氢氨醇、绿色航油等市场化消纳项目，推动高载能产业与新能源产业协同发展。</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市能源局、</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经开区，国网呼伦贝尔供电公司，各旗市区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探索谋划绿电直供项目，谋划推动自发自用、新增负荷绿电直连、绿色氢氨醇、绿色航空燃油等项目，拓宽就地就近消纳渠道。推动鄂温克电厂全额自发自用8万千瓦风电项目、呼伦贝尔驰宏4.86MW全额自发自用分布式光伏发电项目、呼伦贝尔驰宏5.70MW全额自发自用分布式光伏发电、阿荣旗100万千瓦风光制氢制绿色航油等项目前期手续办理。</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落地实施自发自用、绿电直连、绿色氢氨醇、绿色航油等项目，推广市场化消纳新模式。推动鄂温克电厂全额自发自用8万千瓦风电项目、呼伦贝尔驰宏4.86MW全额自发自用分布式光伏发电项目、呼伦贝尔驰宏5.70MW全额自发自用分布式光伏发电等项目建成投产。推动阿荣旗100万千瓦风光制氢制绿色航油、经开区生物质甲醇等项目建设取得突破性进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19"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13.推动油气增储上产。</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围绕增储上产核心任务，强化关键环节攻坚，持续推动油气与清洁能源项目突破发展。推进海拉尔油田加大储采投入，实现油田“控递减”与安全满负荷生产。加强与黑龙江省协同，将齐齐哈尔至呼伦贝尔天然气管道项目纳入国家相关规划。全力推进牙克石市牧原煤层气开发项目，推动</w:t>
            </w:r>
            <w:r>
              <w:rPr>
                <w:rFonts w:hint="eastAsia" w:ascii="宋体" w:hAnsi="宋体" w:eastAsia="宋体" w:cs="宋体"/>
                <w:i w:val="0"/>
                <w:iCs w:val="0"/>
                <w:color w:val="auto"/>
                <w:kern w:val="0"/>
                <w:sz w:val="16"/>
                <w:szCs w:val="16"/>
                <w:highlight w:val="none"/>
                <w:u w:val="none"/>
                <w:lang w:val="en-US" w:eastAsia="zh-CN"/>
              </w:rPr>
              <w:t>解决储量报告编制、探矿权转采矿权等关键环节问题，同步开展配套管道布局方案研究，逐步实现“气化呼伦贝尔”目标。</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市自然资源局、林草局，发展改革委、工信局、住建局，新左旗、新右旗、牙克石市、阿荣旗、扎兰屯市，市城投公司</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推进海拉尔油田加大储采投入，实现油田“控递减”。推动齐齐哈尔至呼伦贝尔天然气管道项目纳入国家相关规划。推动牙克石市牧原煤层气开发项目提交储量报告。</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kern w:val="0"/>
                <w:sz w:val="16"/>
                <w:szCs w:val="16"/>
                <w:highlight w:val="none"/>
                <w:u w:val="none"/>
                <w:lang w:val="en-US" w:eastAsia="zh-CN"/>
              </w:rPr>
            </w:pPr>
            <w:r>
              <w:rPr>
                <w:rFonts w:hint="eastAsia" w:ascii="宋体" w:hAnsi="宋体" w:eastAsia="宋体" w:cs="宋体"/>
                <w:i w:val="0"/>
                <w:iCs w:val="0"/>
                <w:color w:val="auto"/>
                <w:kern w:val="0"/>
                <w:sz w:val="16"/>
                <w:szCs w:val="16"/>
                <w:highlight w:val="none"/>
                <w:u w:val="none"/>
                <w:lang w:val="en-US" w:eastAsia="zh-CN"/>
              </w:rPr>
              <w:t>推进海拉尔油田实现油田安全满负荷生产。建设齐齐哈尔至呼伦贝尔天然气管道项目。推进牙克石市牧原煤层气开发项目及配套管道建设，逐步实现“气化呼伦贝尔”目标。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一、</w:t>
            </w:r>
            <w:r>
              <w:rPr>
                <w:rFonts w:hint="eastAsia" w:ascii="宋体" w:hAnsi="宋体" w:eastAsia="宋体" w:cs="宋体"/>
                <w:i w:val="0"/>
                <w:iCs w:val="0"/>
                <w:color w:val="auto"/>
                <w:kern w:val="0"/>
                <w:sz w:val="16"/>
                <w:szCs w:val="16"/>
                <w:highlight w:val="none"/>
                <w:u w:val="none"/>
                <w:lang w:val="en-US" w:eastAsia="zh-CN"/>
              </w:rPr>
              <w:t>推进五业协同，实现传统产业升级与新兴产业突破</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（四）</w:t>
            </w:r>
            <w:r>
              <w:rPr>
                <w:rFonts w:hint="eastAsia" w:ascii="宋体" w:hAnsi="宋体" w:eastAsia="宋体" w:cs="宋体"/>
                <w:i w:val="0"/>
                <w:iCs w:val="0"/>
                <w:color w:val="auto"/>
                <w:sz w:val="16"/>
                <w:szCs w:val="16"/>
                <w:highlight w:val="none"/>
                <w:u w:val="none"/>
                <w:lang w:val="en-US" w:eastAsia="zh-CN"/>
              </w:rPr>
              <w:t>有色金属产业：全链构建与高端价值进阶</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14.</w:t>
            </w:r>
            <w:r>
              <w:rPr>
                <w:rFonts w:hint="eastAsia" w:ascii="宋体" w:hAnsi="宋体" w:eastAsia="宋体" w:cs="宋体"/>
                <w:i w:val="0"/>
                <w:iCs w:val="0"/>
                <w:color w:val="auto"/>
                <w:sz w:val="16"/>
                <w:szCs w:val="16"/>
                <w:highlight w:val="none"/>
                <w:u w:val="none"/>
                <w:lang w:val="en-US" w:eastAsia="zh-CN"/>
              </w:rPr>
              <w:t>实施“找矿行动”。</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深入实施矿产资源“找矿突破战略行动”，加大勘查投入，加强乌奴格吐山—甲乌拉铜多金属矿、黑龙江多宝山—内蒙古宜里铜金矿等重点成矿带的地质勘查工作，力争铜、铅、锌等矿产资源量实现新突破。加大老矿区深部及外围勘查力度，拉动和引导矿山企业加大资金投入，开展“攻深探边”，形成重要矿产资源接续储备。加强矿产资源开发利用工作，推动5宗采矿权投产、5宗探矿权转采、6宗探矿权出让。</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市自然资源局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落实国家规划矿区要求，统筹安排矿产资源勘查与开采活动，协调各旗市区政府配合自治区地质勘查基金项目进场施工；推动新右旗荣达铅锌银矿、陈旗谢尔塔拉铁锌矿等金属矿山整合周边资源空白区。</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加大老矿区深部及外围勘查力度，鼓励企业开展“攻深探边”，形成重要矿产资源接续储备，预计2028年底前提交自治区政府财政出资地质勘查基金项目成果5项。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21"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15.</w:t>
            </w:r>
            <w:r>
              <w:rPr>
                <w:rFonts w:hint="eastAsia" w:ascii="宋体" w:hAnsi="宋体" w:eastAsia="宋体" w:cs="宋体"/>
                <w:i w:val="0"/>
                <w:iCs w:val="0"/>
                <w:color w:val="auto"/>
                <w:sz w:val="16"/>
                <w:szCs w:val="16"/>
                <w:highlight w:val="none"/>
                <w:u w:val="none"/>
                <w:lang w:val="en-US" w:eastAsia="zh-CN"/>
              </w:rPr>
              <w:t>发展精深加工。</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在现有铜、铅、锌金属产量的基础上，鼓励现有企业扩能升级</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有效利用境外有色金属矿产资源，引进发展铜冶炼加工、铅锌合金生产等加工制造项目，推动总投资超百亿元包含17个子项目的中国黄金集团产业结构优化与效能提升综合项目尽早落地实施，推动产业链延伸、资源就地转化增值，提高产品附加值。</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w:t>
            </w:r>
            <w:r>
              <w:rPr>
                <w:rFonts w:hint="eastAsia" w:ascii="宋体" w:hAnsi="宋体" w:cs="宋体"/>
                <w:i w:val="0"/>
                <w:iCs w:val="0"/>
                <w:color w:val="auto"/>
                <w:sz w:val="16"/>
                <w:szCs w:val="16"/>
                <w:highlight w:val="none"/>
                <w:u w:val="none"/>
                <w:lang w:val="en-US" w:eastAsia="zh-CN"/>
              </w:rPr>
              <w:t>发展改革委、</w:t>
            </w:r>
            <w:r>
              <w:rPr>
                <w:rFonts w:hint="eastAsia" w:ascii="宋体" w:hAnsi="宋体" w:eastAsia="宋体" w:cs="宋体"/>
                <w:i w:val="0"/>
                <w:iCs w:val="0"/>
                <w:color w:val="auto"/>
                <w:sz w:val="16"/>
                <w:szCs w:val="16"/>
                <w:highlight w:val="none"/>
                <w:u w:val="none"/>
                <w:lang w:val="en-US" w:eastAsia="zh-CN"/>
              </w:rPr>
              <w:t>投促中心，经开区、新右旗</w:t>
            </w:r>
            <w:r>
              <w:rPr>
                <w:rFonts w:hint="eastAsia" w:ascii="宋体" w:hAnsi="宋体" w:cs="宋体"/>
                <w:i w:val="0"/>
                <w:iCs w:val="0"/>
                <w:color w:val="auto"/>
                <w:sz w:val="16"/>
                <w:szCs w:val="16"/>
                <w:highlight w:val="none"/>
                <w:u w:val="none"/>
                <w:lang w:val="en-US" w:eastAsia="zh-CN"/>
              </w:rPr>
              <w:t>、额尔古纳市、牙克石市</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w:t>
            </w:r>
            <w:r>
              <w:rPr>
                <w:rFonts w:hint="eastAsia" w:ascii="宋体" w:hAnsi="宋体" w:eastAsia="宋体" w:cs="宋体"/>
                <w:i w:val="0"/>
                <w:iCs w:val="0"/>
                <w:color w:val="auto"/>
                <w:sz w:val="16"/>
                <w:szCs w:val="16"/>
                <w:highlight w:val="none"/>
                <w:u w:val="none"/>
                <w:lang w:val="en-US" w:eastAsia="zh-CN"/>
              </w:rPr>
              <w:t>驰宏矿业铅锌冶炼挖潜增效项目</w:t>
            </w:r>
            <w:r>
              <w:rPr>
                <w:rFonts w:hint="eastAsia" w:ascii="宋体" w:hAnsi="宋体" w:cs="宋体"/>
                <w:i w:val="0"/>
                <w:iCs w:val="0"/>
                <w:color w:val="auto"/>
                <w:sz w:val="16"/>
                <w:szCs w:val="16"/>
                <w:highlight w:val="none"/>
                <w:u w:val="none"/>
                <w:lang w:val="en-US" w:eastAsia="zh-CN"/>
              </w:rPr>
              <w:t>建成投运，年铅锌冶炼能力由20万吨提升至30万吨。</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超凡矿业哈拉胜格拉陶勒盖矿区铅锌银矿年开采33万吨铅锌矿石及选矿项目、鸣鑫矿业牙克石市一十七公里矿区年采选100万吨铅锌钼矿多金属矿建设项目建成投运，诚诚矿业270万吨/年采选整合扩建工程项目建设。</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3.推动实施</w:t>
            </w:r>
            <w:r>
              <w:rPr>
                <w:rFonts w:hint="eastAsia" w:ascii="宋体" w:hAnsi="宋体" w:eastAsia="宋体" w:cs="宋体"/>
                <w:i w:val="0"/>
                <w:iCs w:val="0"/>
                <w:color w:val="auto"/>
                <w:sz w:val="16"/>
                <w:szCs w:val="16"/>
                <w:highlight w:val="none"/>
                <w:u w:val="none"/>
                <w:lang w:val="en-US" w:eastAsia="zh-CN"/>
              </w:rPr>
              <w:t>中国黄金集团内蒙古矿业产业结构优化与效能提升综合项目</w:t>
            </w:r>
            <w:r>
              <w:rPr>
                <w:rFonts w:hint="eastAsia" w:ascii="宋体" w:hAnsi="宋体" w:cs="宋体"/>
                <w:i w:val="0"/>
                <w:iCs w:val="0"/>
                <w:color w:val="auto"/>
                <w:sz w:val="16"/>
                <w:szCs w:val="16"/>
                <w:highlight w:val="none"/>
                <w:u w:val="none"/>
                <w:lang w:val="en-US" w:eastAsia="zh-CN"/>
              </w:rPr>
              <w:t>，谋划储备铜冶炼项目。</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1.推动荣达矿业45万吨扩能、金山矿业90万吨扩能、超凡矿业120万吨扩能、</w:t>
            </w:r>
            <w:r>
              <w:rPr>
                <w:rFonts w:hint="eastAsia" w:ascii="宋体" w:hAnsi="宋体" w:cs="宋体"/>
                <w:i w:val="0"/>
                <w:iCs w:val="0"/>
                <w:color w:val="auto"/>
                <w:sz w:val="16"/>
                <w:szCs w:val="16"/>
                <w:highlight w:val="none"/>
                <w:u w:val="none"/>
                <w:lang w:val="en-US" w:eastAsia="zh-CN"/>
              </w:rPr>
              <w:t>鄂伦春自治旗宜里农场铜钼矿500万吨/年采选、牙克石市外新河矿区铜钼矿40万吨/年采选等项目。</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2.推动驰宏矿业高纯金属技术开发、砷锑无害化资源化利用、铅锌产品合金化等项目。加快都成矿业与驰宏冶炼的合作，进一步提升铅锌冶炼产能和贵金属冶炼能力。</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3.引导中国黄金集团内蒙古矿业、易星矿业等企业，力争落地铜冶炼项目。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76"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16.</w:t>
            </w:r>
            <w:r>
              <w:rPr>
                <w:rFonts w:hint="eastAsia" w:ascii="宋体" w:hAnsi="宋体" w:eastAsia="宋体" w:cs="宋体"/>
                <w:i w:val="0"/>
                <w:iCs w:val="0"/>
                <w:color w:val="auto"/>
                <w:sz w:val="16"/>
                <w:szCs w:val="16"/>
                <w:highlight w:val="none"/>
                <w:u w:val="none"/>
                <w:lang w:val="en-US" w:eastAsia="zh-CN"/>
              </w:rPr>
              <w:t>推动资源循环利用。</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加强低品位废石、副产品、尾矿等资源综合利用，促进与化工、建材等产业耦合发展，构建循环产业链，提高资源综合利用水平。在现有年产20万吨铅锌冶炼副产品硫酸的基础上通过铅锌冶炼扩能、引进建设铜冶炼项目，“十五五”期末硫酸年产能力争达到60万吨，利用域外、境外萤石、磷矿资源，谋划发展氟化工、磷化工等消纳硫酸项目，提高副产硫酸消纳能力。探索建材加工、井下物料填充等转化路径，提高尾矿综合利用水平。</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市自然资源局、生态环境局、发展改革委、投促中心</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1.推动冶炼企业与本地硫酸使用企业合作，稳步提升铅锌冶炼副产品硫酸本地消纳能力。</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2.推动山金矿业三河铅锌矿充填站建设、查干矿业中央竖井尾矿充填系统建设项目。</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w:t>
            </w:r>
            <w:r>
              <w:rPr>
                <w:rFonts w:hint="eastAsia" w:ascii="宋体" w:hAnsi="宋体" w:eastAsia="宋体" w:cs="宋体"/>
                <w:i w:val="0"/>
                <w:iCs w:val="0"/>
                <w:color w:val="auto"/>
                <w:sz w:val="16"/>
                <w:szCs w:val="16"/>
                <w:highlight w:val="none"/>
                <w:u w:val="none"/>
                <w:lang w:val="en-US" w:eastAsia="zh-CN"/>
              </w:rPr>
              <w:t>.</w:t>
            </w:r>
            <w:r>
              <w:rPr>
                <w:rFonts w:hint="eastAsia" w:ascii="宋体" w:hAnsi="宋体" w:cs="宋体"/>
                <w:i w:val="0"/>
                <w:iCs w:val="0"/>
                <w:color w:val="auto"/>
                <w:sz w:val="16"/>
                <w:szCs w:val="16"/>
                <w:highlight w:val="none"/>
                <w:u w:val="none"/>
                <w:lang w:val="en-US" w:eastAsia="zh-CN"/>
              </w:rPr>
              <w:t>推动</w:t>
            </w:r>
            <w:r>
              <w:rPr>
                <w:rFonts w:hint="eastAsia" w:ascii="宋体" w:hAnsi="宋体" w:eastAsia="宋体" w:cs="宋体"/>
                <w:i w:val="0"/>
                <w:iCs w:val="0"/>
                <w:color w:val="auto"/>
                <w:sz w:val="16"/>
                <w:szCs w:val="16"/>
                <w:highlight w:val="none"/>
                <w:u w:val="none"/>
                <w:lang w:val="en-US" w:eastAsia="zh-CN"/>
              </w:rPr>
              <w:t>中国黄金集团内蒙古矿业乌山铜钼矿尾矿中超低品位铜资源综合利用项目。</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w:t>
            </w:r>
            <w:r>
              <w:rPr>
                <w:rFonts w:hint="eastAsia" w:ascii="宋体" w:hAnsi="宋体" w:eastAsia="宋体" w:cs="宋体"/>
                <w:i w:val="0"/>
                <w:iCs w:val="0"/>
                <w:color w:val="auto"/>
                <w:sz w:val="16"/>
                <w:szCs w:val="16"/>
                <w:highlight w:val="none"/>
                <w:u w:val="none"/>
                <w:lang w:val="en-US" w:eastAsia="zh-CN"/>
              </w:rPr>
              <w:t>中国黄金集团内蒙古矿业乌山铜钼矿低铜废石环境污染预防及资源综合回收利用项目二至五期工程、诚诚矿业金属矿山固废综合利用、驰宏矿业贵金属</w:t>
            </w:r>
            <w:r>
              <w:rPr>
                <w:rFonts w:hint="eastAsia" w:ascii="宋体" w:hAnsi="宋体" w:cs="宋体"/>
                <w:i w:val="0"/>
                <w:iCs w:val="0"/>
                <w:color w:val="auto"/>
                <w:sz w:val="16"/>
                <w:szCs w:val="16"/>
                <w:highlight w:val="none"/>
                <w:u w:val="none"/>
                <w:lang w:val="en-US" w:eastAsia="zh-CN"/>
              </w:rPr>
              <w:t>冶炼</w:t>
            </w:r>
            <w:r>
              <w:rPr>
                <w:rFonts w:hint="eastAsia" w:ascii="宋体" w:hAnsi="宋体" w:eastAsia="宋体" w:cs="宋体"/>
                <w:i w:val="0"/>
                <w:iCs w:val="0"/>
                <w:color w:val="auto"/>
                <w:sz w:val="16"/>
                <w:szCs w:val="16"/>
                <w:highlight w:val="none"/>
                <w:u w:val="none"/>
                <w:lang w:val="en-US" w:eastAsia="zh-CN"/>
              </w:rPr>
              <w:t>二期等项目</w:t>
            </w:r>
            <w:r>
              <w:rPr>
                <w:rFonts w:hint="eastAsia" w:ascii="宋体" w:hAnsi="宋体" w:cs="宋体"/>
                <w:i w:val="0"/>
                <w:iCs w:val="0"/>
                <w:color w:val="auto"/>
                <w:sz w:val="16"/>
                <w:szCs w:val="16"/>
                <w:highlight w:val="none"/>
                <w:u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2.结合金属冶炼及副产品硫酸产能提升，谋划推动“金属冶炼—副产品（硫酸）</w:t>
            </w:r>
            <w:r>
              <w:rPr>
                <w:rFonts w:hint="eastAsia" w:ascii="宋体" w:hAnsi="宋体" w:eastAsia="宋体" w:cs="宋体"/>
                <w:i w:val="0"/>
                <w:iCs w:val="0"/>
                <w:color w:val="auto"/>
                <w:sz w:val="16"/>
                <w:szCs w:val="16"/>
                <w:highlight w:val="none"/>
                <w:u w:val="none"/>
                <w:lang w:val="en-US" w:eastAsia="zh-CN"/>
              </w:rPr>
              <w:t>—化工”循环产业链项目。</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3</w:t>
            </w:r>
            <w:r>
              <w:rPr>
                <w:rFonts w:hint="eastAsia" w:ascii="宋体" w:hAnsi="宋体" w:cs="宋体"/>
                <w:i w:val="0"/>
                <w:iCs w:val="0"/>
                <w:color w:val="auto"/>
                <w:sz w:val="16"/>
                <w:szCs w:val="16"/>
                <w:highlight w:val="none"/>
                <w:u w:val="none"/>
                <w:lang w:val="en-US" w:eastAsia="zh-CN"/>
              </w:rPr>
              <w:t>.推动驰宏矿业铅锌再生资源协同处置与高值化综合利用</w:t>
            </w:r>
            <w:r>
              <w:rPr>
                <w:rFonts w:hint="eastAsia" w:ascii="宋体" w:hAnsi="宋体" w:eastAsia="宋体" w:cs="宋体"/>
                <w:i w:val="0"/>
                <w:iCs w:val="0"/>
                <w:color w:val="auto"/>
                <w:sz w:val="16"/>
                <w:szCs w:val="16"/>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799"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17.</w:t>
            </w:r>
            <w:r>
              <w:rPr>
                <w:rFonts w:hint="eastAsia" w:ascii="宋体" w:hAnsi="宋体" w:eastAsia="宋体" w:cs="宋体"/>
                <w:i w:val="0"/>
                <w:iCs w:val="0"/>
                <w:color w:val="auto"/>
                <w:sz w:val="16"/>
                <w:szCs w:val="16"/>
                <w:highlight w:val="none"/>
                <w:u w:val="none"/>
                <w:lang w:val="en-US" w:eastAsia="zh-CN"/>
              </w:rPr>
              <w:t>深化跨境资源合作。</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依托满洲里</w:t>
            </w:r>
            <w:r>
              <w:rPr>
                <w:rFonts w:hint="eastAsia" w:ascii="宋体" w:hAnsi="宋体" w:cs="宋体"/>
                <w:i w:val="0"/>
                <w:iCs w:val="0"/>
                <w:color w:val="auto"/>
                <w:sz w:val="16"/>
                <w:szCs w:val="16"/>
                <w:highlight w:val="none"/>
                <w:u w:val="none"/>
                <w:lang w:val="en-US" w:eastAsia="zh-CN"/>
              </w:rPr>
              <w:t>、黑山头</w:t>
            </w:r>
            <w:r>
              <w:rPr>
                <w:rFonts w:hint="eastAsia" w:ascii="宋体" w:hAnsi="宋体" w:eastAsia="宋体" w:cs="宋体"/>
                <w:i w:val="0"/>
                <w:iCs w:val="0"/>
                <w:color w:val="auto"/>
                <w:sz w:val="16"/>
                <w:szCs w:val="16"/>
                <w:highlight w:val="none"/>
                <w:u w:val="none"/>
                <w:lang w:val="en-US" w:eastAsia="zh-CN"/>
              </w:rPr>
              <w:t>等口岸优势，统筹做好俄蒙毗邻地区有色金属矿产资源分布情况及进出口政策等系统梳理工作，全面提升进口资源落地加工要素保障能力。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市商务局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市自然资源局、外事办</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满洲里海关，各口岸旗市区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完成俄蒙毗邻地区有色金属矿产资源分布情况及进出口政策等系统梳理；聚焦满洲里等口岸，初步优化进口资源落地加工用地、能耗等要素配置；搭建政企对接平台，提升要素保障响应效率，夯实资源加工基础</w:t>
            </w:r>
            <w:r>
              <w:rPr>
                <w:rFonts w:hint="eastAsia" w:ascii="宋体" w:hAnsi="宋体" w:cs="宋体"/>
                <w:i w:val="0"/>
                <w:iCs w:val="0"/>
                <w:color w:val="auto"/>
                <w:sz w:val="16"/>
                <w:szCs w:val="16"/>
                <w:highlight w:val="none"/>
                <w:u w:val="none"/>
                <w:lang w:val="en-US" w:eastAsia="zh-CN"/>
              </w:rPr>
              <w:t>。</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提升俄蒙资源信息共享利用与政策研判能力，进口资源落地加工要素保障精准高效；形成“口岸通关+要素配套+精深加工”联动机制，加工转化率显著提升；构建跨境资源合作与要素保障协同体系，支撑产业集群化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856"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一、</w:t>
            </w:r>
            <w:r>
              <w:rPr>
                <w:rFonts w:hint="eastAsia" w:ascii="宋体" w:hAnsi="宋体" w:eastAsia="宋体" w:cs="宋体"/>
                <w:i w:val="0"/>
                <w:iCs w:val="0"/>
                <w:color w:val="auto"/>
                <w:kern w:val="0"/>
                <w:sz w:val="16"/>
                <w:szCs w:val="16"/>
                <w:highlight w:val="none"/>
                <w:u w:val="none"/>
                <w:lang w:val="en-US" w:eastAsia="zh-CN"/>
              </w:rPr>
              <w:t>推进五业协同，实现传统产业升级与新兴产业突破</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（五）</w:t>
            </w:r>
            <w:r>
              <w:rPr>
                <w:rFonts w:hint="eastAsia" w:ascii="宋体" w:hAnsi="宋体" w:eastAsia="宋体" w:cs="宋体"/>
                <w:i w:val="0"/>
                <w:iCs w:val="0"/>
                <w:color w:val="auto"/>
                <w:sz w:val="16"/>
                <w:szCs w:val="16"/>
                <w:highlight w:val="none"/>
                <w:u w:val="none"/>
                <w:lang w:val="en-US" w:eastAsia="zh-CN"/>
              </w:rPr>
              <w:t>制造业：</w:t>
            </w:r>
            <w:r>
              <w:rPr>
                <w:rFonts w:hint="eastAsia" w:ascii="宋体" w:hAnsi="宋体" w:eastAsia="宋体" w:cs="宋体"/>
                <w:i w:val="0"/>
                <w:iCs w:val="0"/>
                <w:color w:val="auto"/>
                <w:sz w:val="16"/>
                <w:szCs w:val="16"/>
                <w:highlight w:val="none"/>
                <w:u w:val="none"/>
                <w:shd w:val="clear"/>
                <w:lang w:val="en-US" w:eastAsia="zh-CN"/>
              </w:rPr>
              <w:t>夯实优势产业基础与促进集群发展</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18.</w:t>
            </w:r>
            <w:r>
              <w:rPr>
                <w:rFonts w:hint="eastAsia" w:ascii="宋体" w:hAnsi="宋体" w:eastAsia="宋体" w:cs="宋体"/>
                <w:i w:val="0"/>
                <w:iCs w:val="0"/>
                <w:color w:val="auto"/>
                <w:sz w:val="16"/>
                <w:szCs w:val="16"/>
                <w:highlight w:val="none"/>
                <w:u w:val="none"/>
                <w:lang w:val="en-US" w:eastAsia="zh-CN"/>
              </w:rPr>
              <w:t>做强食品制造业。</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聚焦食品制造业发展，依托我市农畜产品资源优势，以全链打造、精深加工为核心路径，通过培育区域公用品牌、推动产品高端化创新、延伸产业链条，实现产业向高端化、精细化、规模化转型，提升农产品附加值与市场价值。</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农牧局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市发展改革委、科技局、市场监管局</w:t>
            </w:r>
            <w:r>
              <w:rPr>
                <w:rFonts w:hint="eastAsia" w:ascii="宋体" w:hAnsi="宋体" w:cs="宋体"/>
                <w:i w:val="0"/>
                <w:iCs w:val="0"/>
                <w:color w:val="auto"/>
                <w:sz w:val="16"/>
                <w:szCs w:val="16"/>
                <w:highlight w:val="none"/>
                <w:u w:val="none"/>
                <w:lang w:val="en-US" w:eastAsia="zh-CN"/>
              </w:rPr>
              <w:t>，农垦集团，相关旗市区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深入分析食品制造业行业发展现状，结合农畜产品资源禀赋，研究明确产业发展思路与方向，谋划储备一批重点项目。支持乳制品企业扩大加工规模，升级生产工艺，开发高端液态奶、婴幼儿配方乳粉、羊奶制品等高端产品，构建从奶源到终端产品的完整产业链；推动肉制品加工企业向精细分割、熟食加工、预制菜生产转型，综合利用皮毛骨血等副产物，发展牛骨肽、胶原蛋白肽等产品；</w:t>
            </w:r>
            <w:r>
              <w:rPr>
                <w:rFonts w:hint="eastAsia" w:ascii="宋体" w:hAnsi="宋体" w:eastAsia="宋体" w:cs="宋体"/>
                <w:i w:val="0"/>
                <w:iCs w:val="0"/>
                <w:color w:val="auto"/>
                <w:sz w:val="16"/>
                <w:szCs w:val="16"/>
                <w:highlight w:val="none"/>
                <w:u w:val="none"/>
                <w:lang w:val="en-US" w:eastAsia="zh-CN"/>
              </w:rPr>
              <w:t>进口俄罗斯大麦、燕麦、油菜籽等农产品，开展粮油精深加工；</w:t>
            </w:r>
            <w:r>
              <w:rPr>
                <w:rFonts w:hint="eastAsia" w:ascii="宋体" w:hAnsi="宋体" w:cs="宋体"/>
                <w:i w:val="0"/>
                <w:iCs w:val="0"/>
                <w:color w:val="auto"/>
                <w:sz w:val="16"/>
                <w:szCs w:val="16"/>
                <w:highlight w:val="none"/>
                <w:u w:val="none"/>
                <w:lang w:val="en-US" w:eastAsia="zh-CN"/>
              </w:rPr>
              <w:t>延伸玉米加工产业链，布局氨基酸、淀粉糖等精深加工品类，夯实产业发展基础。</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sz w:val="16"/>
                <w:szCs w:val="16"/>
                <w:highlight w:val="none"/>
                <w:u w:val="none"/>
                <w:lang w:val="en-US" w:eastAsia="zh-CN"/>
              </w:rPr>
              <w:t>探索培育植物蛋白、宠物食品等产业。延伸大豆、甜菜加工等产业链，发展酵母、食品粕等精深加工产品。立足全链深度开发，重点培育区域公用品牌，助力“好产品卖出好价钱”。谋划推进呼伦贝尔农垦食品产业园、合适佳食品大豆生产线建设及深加工技改、中荣牛羊肉预制菜、莫旗肉制品深加工等重点项目，持续推动食品制造业在高端化、精细化、规模化方向上提质升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57"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19.</w:t>
            </w:r>
            <w:r>
              <w:rPr>
                <w:rFonts w:hint="eastAsia" w:ascii="宋体" w:hAnsi="宋体" w:eastAsia="宋体" w:cs="宋体"/>
                <w:i w:val="0"/>
                <w:iCs w:val="0"/>
                <w:color w:val="auto"/>
                <w:sz w:val="16"/>
                <w:szCs w:val="16"/>
                <w:highlight w:val="none"/>
                <w:u w:val="none"/>
                <w:lang w:val="en-US" w:eastAsia="zh-CN"/>
              </w:rPr>
              <w:t>推进生物制造产业发展。</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聚焦生物医药和生物发酵两大核心领域，以链主企业为牵引，强化要素资源配置与企业服务，通过延链补链强链、技术改造升级、存量项目盘活，延伸产业链条、巩固优势产能，逐步培育形成生物制造产业集群效应。</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sz w:val="16"/>
                <w:szCs w:val="16"/>
                <w:highlight w:val="none"/>
                <w:u w:val="none"/>
                <w:lang w:val="en-US" w:eastAsia="zh-CN"/>
              </w:rPr>
              <w:t>农牧局、能源局、</w:t>
            </w:r>
            <w:r>
              <w:rPr>
                <w:rFonts w:hint="eastAsia" w:ascii="宋体" w:hAnsi="宋体" w:cs="宋体"/>
                <w:i w:val="0"/>
                <w:iCs w:val="0"/>
                <w:color w:val="auto"/>
                <w:sz w:val="16"/>
                <w:szCs w:val="16"/>
                <w:highlight w:val="none"/>
                <w:u w:val="none"/>
                <w:lang w:val="en-US" w:eastAsia="zh-CN"/>
              </w:rPr>
              <w:t>发展改革</w:t>
            </w:r>
            <w:r>
              <w:rPr>
                <w:rFonts w:hint="eastAsia" w:ascii="宋体" w:hAnsi="宋体" w:eastAsia="宋体" w:cs="宋体"/>
                <w:i w:val="0"/>
                <w:iCs w:val="0"/>
                <w:color w:val="auto"/>
                <w:sz w:val="16"/>
                <w:szCs w:val="16"/>
                <w:highlight w:val="none"/>
                <w:u w:val="none"/>
                <w:lang w:val="en-US" w:eastAsia="zh-CN"/>
              </w:rPr>
              <w:t>委、自然资源局、林草局、卫健委、科技局、</w:t>
            </w:r>
            <w:r>
              <w:rPr>
                <w:rFonts w:hint="eastAsia" w:ascii="宋体" w:hAnsi="宋体" w:cs="宋体"/>
                <w:i w:val="0"/>
                <w:iCs w:val="0"/>
                <w:color w:val="auto"/>
                <w:sz w:val="16"/>
                <w:szCs w:val="16"/>
                <w:highlight w:val="none"/>
                <w:u w:val="none"/>
                <w:lang w:val="en-US" w:eastAsia="zh-CN"/>
              </w:rPr>
              <w:t>教育局、</w:t>
            </w:r>
            <w:r>
              <w:rPr>
                <w:rFonts w:hint="eastAsia" w:ascii="宋体" w:hAnsi="宋体" w:eastAsia="宋体" w:cs="宋体"/>
                <w:i w:val="0"/>
                <w:iCs w:val="0"/>
                <w:color w:val="auto"/>
                <w:sz w:val="16"/>
                <w:szCs w:val="16"/>
                <w:highlight w:val="none"/>
                <w:u w:val="none"/>
                <w:lang w:val="en-US" w:eastAsia="zh-CN"/>
              </w:rPr>
              <w:t>市场监管局，海拉尔区、牙克石市、扎兰屯市、额尔古纳市、阿荣旗、鄂伦春旗、经开区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系统梳理生物制造产业发展现状，围绕链主企业谋划延链补链强链重点项目，完成前期筹备工作。强化要素资源配置与精准服务，依托东北阜丰建设全球最大玉米氨基酸生产基地，巩固扩大优势产品产能；完善上下游产品项目配套建设，支持企业通过技术改造提升加工水平，稳固主打产品市场地位。</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sz w:val="16"/>
                <w:szCs w:val="16"/>
                <w:highlight w:val="none"/>
                <w:u w:val="none"/>
                <w:lang w:val="en-US" w:eastAsia="zh-CN"/>
              </w:rPr>
              <w:t>推进东北阜丰技术改造、安琪晟通酵母制品、海邻生物新型饲用蛋白、法麦克斯味精尾液深加工特肥产品等项目建设，加快盘活鸿洋药业等停产停建项目，持续延伸与强化产业链条。深度挖掘优势产品增长潜力，推动产业资源集聚整合，逐步显现生物制造产业集群效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84"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20.</w:t>
            </w:r>
            <w:r>
              <w:rPr>
                <w:rFonts w:hint="eastAsia" w:ascii="宋体" w:hAnsi="宋体" w:eastAsia="宋体" w:cs="宋体"/>
                <w:i w:val="0"/>
                <w:iCs w:val="0"/>
                <w:color w:val="auto"/>
                <w:sz w:val="16"/>
                <w:szCs w:val="16"/>
                <w:highlight w:val="none"/>
                <w:u w:val="none"/>
                <w:lang w:val="en-US" w:eastAsia="zh-CN"/>
              </w:rPr>
              <w:t>推动高端装备制造业协同发展。</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重点依托农垦集团的应用场景优势，支持华德、玖嘉、野田铁牛</w:t>
            </w:r>
            <w:r>
              <w:rPr>
                <w:rFonts w:hint="eastAsia" w:ascii="宋体" w:hAnsi="宋体" w:cs="宋体"/>
                <w:i w:val="0"/>
                <w:iCs w:val="0"/>
                <w:color w:val="auto"/>
                <w:sz w:val="16"/>
                <w:szCs w:val="16"/>
                <w:highlight w:val="none"/>
                <w:u w:val="none"/>
                <w:lang w:val="en-US" w:eastAsia="zh-CN"/>
              </w:rPr>
              <w:t>、金耕</w:t>
            </w:r>
            <w:r>
              <w:rPr>
                <w:rFonts w:hint="eastAsia" w:ascii="宋体" w:hAnsi="宋体" w:eastAsia="宋体" w:cs="宋体"/>
                <w:i w:val="0"/>
                <w:iCs w:val="0"/>
                <w:color w:val="auto"/>
                <w:sz w:val="16"/>
                <w:szCs w:val="16"/>
                <w:highlight w:val="none"/>
                <w:u w:val="none"/>
                <w:lang w:val="en-US" w:eastAsia="zh-CN"/>
              </w:rPr>
              <w:t>等具备技术与研发基础的企业及科研机构，围绕本地短缺机型进行集中攻关，提升国产农机替代能力，深化研发、制造、应用一体化，带动农机装备产业整体升级。聚焦新能源装备、低空装备等前沿领域，着力引进龙头企业并培育本地配套体系，逐步构建“资源开发+装备制造+应用示范”的完整产业链条，增强产业发展协同性。</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市农牧局、科技局、发展改革委、能源局、投促中心、经开区、海拉尔区、鄂温克旗，农垦集团</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支持</w:t>
            </w:r>
            <w:r>
              <w:rPr>
                <w:rFonts w:hint="eastAsia" w:ascii="宋体" w:hAnsi="宋体" w:cs="宋体"/>
                <w:i w:val="0"/>
                <w:iCs w:val="0"/>
                <w:color w:val="auto"/>
                <w:sz w:val="16"/>
                <w:szCs w:val="16"/>
                <w:highlight w:val="none"/>
                <w:u w:val="none"/>
                <w:lang w:val="en-US" w:eastAsia="zh-CN"/>
              </w:rPr>
              <w:t>重点企业</w:t>
            </w:r>
            <w:r>
              <w:rPr>
                <w:rFonts w:hint="eastAsia" w:ascii="宋体" w:hAnsi="宋体" w:eastAsia="宋体" w:cs="宋体"/>
                <w:i w:val="0"/>
                <w:iCs w:val="0"/>
                <w:color w:val="auto"/>
                <w:sz w:val="16"/>
                <w:szCs w:val="16"/>
                <w:highlight w:val="none"/>
                <w:u w:val="none"/>
                <w:lang w:val="en-US" w:eastAsia="zh-CN"/>
              </w:rPr>
              <w:t>及科研机构，围绕短缺机型进行集中攻关，深化研发、制造、应用一体化，带动农机装备产业整体升级</w:t>
            </w:r>
            <w:r>
              <w:rPr>
                <w:rFonts w:hint="eastAsia" w:ascii="宋体" w:hAnsi="宋体" w:cs="宋体"/>
                <w:i w:val="0"/>
                <w:iCs w:val="0"/>
                <w:color w:val="auto"/>
                <w:sz w:val="16"/>
                <w:szCs w:val="16"/>
                <w:highlight w:val="none"/>
                <w:u w:val="none"/>
                <w:lang w:val="en-US" w:eastAsia="zh-CN"/>
              </w:rPr>
              <w:t>，在</w:t>
            </w:r>
            <w:r>
              <w:rPr>
                <w:rFonts w:hint="eastAsia" w:ascii="宋体" w:hAnsi="宋体" w:eastAsia="宋体" w:cs="宋体"/>
                <w:i w:val="0"/>
                <w:iCs w:val="0"/>
                <w:color w:val="auto"/>
                <w:sz w:val="16"/>
                <w:szCs w:val="16"/>
                <w:highlight w:val="none"/>
                <w:u w:val="none"/>
                <w:lang w:val="en-US" w:eastAsia="zh-CN"/>
              </w:rPr>
              <w:t>未来2年内实现3-5个短板机型的国产化替代，取得阶段性技术突破。</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聚焦新能源装备、低空装备等前沿领域，着力引进龙头企业并培育本地应用和服务等配套体系。</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深化与拓展供需对接平台功能，持续优化“联合攻关”模式，支持企业向更复杂、更高端的机型扩展，累计实现10个以上高端农机装备新机型的成功开发与产业化。</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聚焦新能源装备、低空装备等前沿领域，逐步构建“资源开发+装备制造+应用示范”的完整产业链条，增强产业发展协同性。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05"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21.</w:t>
            </w:r>
            <w:r>
              <w:rPr>
                <w:rFonts w:hint="eastAsia" w:ascii="宋体" w:hAnsi="宋体" w:eastAsia="宋体" w:cs="宋体"/>
                <w:i w:val="0"/>
                <w:iCs w:val="0"/>
                <w:color w:val="auto"/>
                <w:sz w:val="16"/>
                <w:szCs w:val="16"/>
                <w:highlight w:val="none"/>
                <w:u w:val="none"/>
                <w:lang w:val="en-US" w:eastAsia="zh-CN"/>
              </w:rPr>
              <w:t>推动化工产业转型升级。</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1.推动绿色氢氨醇产业。</w:t>
            </w:r>
            <w:r>
              <w:rPr>
                <w:rFonts w:hint="eastAsia" w:ascii="宋体" w:hAnsi="宋体" w:eastAsia="宋体" w:cs="宋体"/>
                <w:i w:val="0"/>
                <w:iCs w:val="0"/>
                <w:color w:val="auto"/>
                <w:sz w:val="16"/>
                <w:szCs w:val="16"/>
                <w:highlight w:val="none"/>
                <w:u w:val="none"/>
                <w:lang w:val="en-US" w:eastAsia="zh-CN"/>
              </w:rPr>
              <w:t>结合绿电、绿氢产业，引进发展绿氨、绿醇以及下游绿色能源化工产业链，重点推进浙江运达16万吨绿色甲醇项目等。</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市发展改革委、生态环境局、应急管理局、水利局、科技局、投促中心，阿荣旗、经开区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谋划经开区生物质甲醇、阿荣旗绿色航空燃油等</w:t>
            </w:r>
            <w:r>
              <w:rPr>
                <w:rFonts w:hint="eastAsia" w:ascii="宋体" w:hAnsi="宋体" w:cs="宋体"/>
                <w:i w:val="0"/>
                <w:iCs w:val="0"/>
                <w:color w:val="auto"/>
                <w:sz w:val="16"/>
                <w:szCs w:val="16"/>
                <w:highlight w:val="none"/>
                <w:u w:val="none"/>
                <w:lang w:val="en-US" w:eastAsia="zh-CN"/>
              </w:rPr>
              <w:t>绿色氢氨醇和航油</w:t>
            </w:r>
            <w:r>
              <w:rPr>
                <w:rFonts w:hint="eastAsia" w:ascii="宋体" w:hAnsi="宋体" w:eastAsia="宋体" w:cs="宋体"/>
                <w:i w:val="0"/>
                <w:iCs w:val="0"/>
                <w:color w:val="auto"/>
                <w:sz w:val="16"/>
                <w:szCs w:val="16"/>
                <w:highlight w:val="none"/>
                <w:u w:val="none"/>
                <w:lang w:val="en-US" w:eastAsia="zh-CN"/>
              </w:rPr>
              <w:t>项目。</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推动重点绿色氢氨醇项目</w:t>
            </w:r>
            <w:r>
              <w:rPr>
                <w:rFonts w:hint="eastAsia" w:ascii="宋体" w:hAnsi="宋体" w:cs="宋体"/>
                <w:i w:val="0"/>
                <w:iCs w:val="0"/>
                <w:color w:val="auto"/>
                <w:sz w:val="16"/>
                <w:szCs w:val="16"/>
                <w:highlight w:val="none"/>
                <w:u w:val="none"/>
                <w:lang w:val="en-US" w:eastAsia="zh-CN"/>
              </w:rPr>
              <w:t>前期工作，争取</w:t>
            </w:r>
            <w:r>
              <w:rPr>
                <w:rFonts w:hint="eastAsia" w:ascii="宋体" w:hAnsi="宋体" w:eastAsia="宋体" w:cs="宋体"/>
                <w:i w:val="0"/>
                <w:iCs w:val="0"/>
                <w:color w:val="auto"/>
                <w:sz w:val="16"/>
                <w:szCs w:val="16"/>
                <w:highlight w:val="none"/>
                <w:u w:val="none"/>
                <w:lang w:val="en-US" w:eastAsia="zh-CN"/>
              </w:rPr>
              <w:t>经开区生物质甲醇、阿荣旗绿色航空燃油等</w:t>
            </w:r>
            <w:r>
              <w:rPr>
                <w:rFonts w:hint="eastAsia" w:ascii="宋体" w:hAnsi="宋体" w:cs="宋体"/>
                <w:i w:val="0"/>
                <w:iCs w:val="0"/>
                <w:color w:val="auto"/>
                <w:sz w:val="16"/>
                <w:szCs w:val="16"/>
                <w:highlight w:val="none"/>
                <w:u w:val="none"/>
                <w:lang w:val="en-US" w:eastAsia="zh-CN"/>
              </w:rPr>
              <w:t>项目开工建设</w:t>
            </w:r>
            <w:r>
              <w:rPr>
                <w:rFonts w:hint="eastAsia" w:ascii="宋体" w:hAnsi="宋体" w:eastAsia="宋体" w:cs="宋体"/>
                <w:i w:val="0"/>
                <w:iCs w:val="0"/>
                <w:color w:val="auto"/>
                <w:sz w:val="16"/>
                <w:szCs w:val="16"/>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079"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14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推动液化石油气落地加工。加快进口资源落地转化，重点发展液化石油气加工，培育发展顺酐、聚丙烯等产业。</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w:t>
            </w:r>
            <w:r>
              <w:rPr>
                <w:rFonts w:hint="eastAsia" w:ascii="宋体" w:hAnsi="宋体" w:cs="宋体"/>
                <w:i w:val="0"/>
                <w:iCs w:val="0"/>
                <w:color w:val="auto"/>
                <w:sz w:val="16"/>
                <w:szCs w:val="16"/>
                <w:highlight w:val="none"/>
                <w:u w:val="none"/>
                <w:lang w:val="en-US" w:eastAsia="zh-CN"/>
              </w:rPr>
              <w:t>发展改革</w:t>
            </w:r>
            <w:r>
              <w:rPr>
                <w:rFonts w:hint="eastAsia" w:ascii="宋体" w:hAnsi="宋体" w:eastAsia="宋体" w:cs="宋体"/>
                <w:i w:val="0"/>
                <w:iCs w:val="0"/>
                <w:color w:val="auto"/>
                <w:sz w:val="16"/>
                <w:szCs w:val="16"/>
                <w:highlight w:val="none"/>
                <w:u w:val="none"/>
                <w:lang w:val="en-US" w:eastAsia="zh-CN"/>
              </w:rPr>
              <w:t>委、能源局、生态环境局、应急管理局、水利局、科技局、投促中心，满洲里市、经开区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推动满洲里产业协作园区化工原料输送管廊工程项目前期，谋划原油、液体化工原料罐区及产业链下游加工、伊油天然气化工综合体等</w:t>
            </w:r>
            <w:r>
              <w:rPr>
                <w:rFonts w:hint="eastAsia" w:ascii="宋体" w:hAnsi="宋体" w:eastAsia="宋体" w:cs="宋体"/>
                <w:i w:val="0"/>
                <w:iCs w:val="0"/>
                <w:color w:val="auto"/>
                <w:sz w:val="16"/>
                <w:szCs w:val="16"/>
                <w:highlight w:val="none"/>
                <w:u w:val="none"/>
                <w:lang w:val="en-US" w:eastAsia="zh-CN"/>
              </w:rPr>
              <w:t>液化石油气落地加工项目。</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推动原油、液体化工原料罐区及产业链下游加工、伊油天然气化工综合体、聚丙烯等项目前期工作。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05"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3.推动传统</w:t>
            </w:r>
            <w:r>
              <w:rPr>
                <w:rFonts w:hint="eastAsia" w:ascii="宋体" w:hAnsi="宋体" w:eastAsia="宋体" w:cs="宋体"/>
                <w:i w:val="0"/>
                <w:iCs w:val="0"/>
                <w:color w:val="auto"/>
                <w:sz w:val="16"/>
                <w:szCs w:val="16"/>
                <w:highlight w:val="none"/>
                <w:u w:val="none"/>
                <w:lang w:val="en-US" w:eastAsia="zh-CN"/>
              </w:rPr>
              <w:t>化工产业转型升级。推动褐煤就地高效清洁转化利用，加快煤化工产业提档升级，全市煤炭就地转化率超过40%，引导现有合成氨、甲醇企业搭载绿电、绿氢，推动化工与新能源产业耦合发展，实现“灰氢替代”，降低生产成本及碳排放、碳消耗。支持金新化工、东能化工等煤化工企业延伸产业链，推动盘活大唐化肥项目，谋划发展高端氮肥、复合肥等下游产品。探索发展褐煤低温热解工艺、煤炭分质利用等，谋划碳基新材料高附加值产品。</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w:t>
            </w:r>
            <w:r>
              <w:rPr>
                <w:rFonts w:hint="eastAsia" w:ascii="宋体" w:hAnsi="宋体" w:cs="宋体"/>
                <w:i w:val="0"/>
                <w:iCs w:val="0"/>
                <w:color w:val="auto"/>
                <w:sz w:val="16"/>
                <w:szCs w:val="16"/>
                <w:highlight w:val="none"/>
                <w:u w:val="none"/>
                <w:lang w:val="en-US" w:eastAsia="zh-CN"/>
              </w:rPr>
              <w:t>发展改革</w:t>
            </w:r>
            <w:r>
              <w:rPr>
                <w:rFonts w:hint="eastAsia" w:ascii="宋体" w:hAnsi="宋体" w:eastAsia="宋体" w:cs="宋体"/>
                <w:i w:val="0"/>
                <w:iCs w:val="0"/>
                <w:color w:val="auto"/>
                <w:sz w:val="16"/>
                <w:szCs w:val="16"/>
                <w:highlight w:val="none"/>
                <w:u w:val="none"/>
                <w:lang w:val="en-US" w:eastAsia="zh-CN"/>
              </w:rPr>
              <w:t>委、能源局、生态环境局、应急管理局、水利局、科技局、投促中心，陈巴尔虎旗、经开区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推动金</w:t>
            </w:r>
            <w:r>
              <w:rPr>
                <w:rFonts w:hint="eastAsia" w:ascii="宋体" w:hAnsi="宋体" w:eastAsia="宋体" w:cs="宋体"/>
                <w:i w:val="0"/>
                <w:iCs w:val="0"/>
                <w:color w:val="auto"/>
                <w:sz w:val="16"/>
                <w:szCs w:val="16"/>
                <w:highlight w:val="none"/>
                <w:u w:val="none"/>
                <w:lang w:val="en-US" w:eastAsia="zh-CN"/>
              </w:rPr>
              <w:t>新化工</w:t>
            </w:r>
            <w:r>
              <w:rPr>
                <w:rFonts w:hint="eastAsia" w:ascii="宋体" w:hAnsi="宋体" w:cs="宋体"/>
                <w:i w:val="0"/>
                <w:iCs w:val="0"/>
                <w:color w:val="auto"/>
                <w:sz w:val="16"/>
                <w:szCs w:val="16"/>
                <w:highlight w:val="none"/>
                <w:u w:val="none"/>
                <w:lang w:val="en-US" w:eastAsia="zh-CN"/>
              </w:rPr>
              <w:t>、东能化工</w:t>
            </w:r>
            <w:r>
              <w:rPr>
                <w:rFonts w:hint="eastAsia" w:ascii="宋体" w:hAnsi="宋体" w:eastAsia="宋体" w:cs="宋体"/>
                <w:i w:val="0"/>
                <w:iCs w:val="0"/>
                <w:color w:val="auto"/>
                <w:sz w:val="16"/>
                <w:szCs w:val="16"/>
                <w:highlight w:val="none"/>
                <w:u w:val="none"/>
                <w:lang w:val="en-US" w:eastAsia="zh-CN"/>
              </w:rPr>
              <w:t>开展技术改造，谋划</w:t>
            </w:r>
            <w:r>
              <w:rPr>
                <w:rFonts w:hint="eastAsia" w:ascii="宋体" w:hAnsi="宋体" w:cs="宋体"/>
                <w:i w:val="0"/>
                <w:iCs w:val="0"/>
                <w:color w:val="auto"/>
                <w:sz w:val="16"/>
                <w:szCs w:val="16"/>
                <w:highlight w:val="none"/>
                <w:u w:val="none"/>
                <w:lang w:val="en-US" w:eastAsia="zh-CN"/>
              </w:rPr>
              <w:t>金新化工</w:t>
            </w:r>
            <w:r>
              <w:rPr>
                <w:rFonts w:hint="eastAsia" w:ascii="宋体" w:hAnsi="宋体" w:eastAsia="宋体" w:cs="宋体"/>
                <w:i w:val="0"/>
                <w:iCs w:val="0"/>
                <w:color w:val="auto"/>
                <w:sz w:val="16"/>
                <w:szCs w:val="16"/>
                <w:highlight w:val="none"/>
                <w:u w:val="none"/>
                <w:lang w:val="en-US" w:eastAsia="zh-CN"/>
              </w:rPr>
              <w:t>60万吨合成氨、105万吨尿素项目。</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引导金新化工等现有煤化工企业使用褐煤低温热解技术，搭载绿氢，推动节能降碳。谋划金新化工60万吨合成氨、105万吨尿素项目，延伸发展高氮水溶复合肥等下游产品。持续推动大唐化肥项目盘活技改。</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745" w:hRule="atLeast"/>
          <w:jc w:val="center"/>
        </w:trPr>
        <w:tc>
          <w:tcPr>
            <w:tcW w:w="1296" w:type="dxa"/>
            <w:vMerge w:val="continue"/>
            <w:tcBorders>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4.</w:t>
            </w:r>
            <w:r>
              <w:rPr>
                <w:rFonts w:hint="eastAsia" w:ascii="宋体" w:hAnsi="宋体" w:eastAsia="宋体" w:cs="宋体"/>
                <w:i w:val="0"/>
                <w:iCs w:val="0"/>
                <w:color w:val="auto"/>
                <w:sz w:val="16"/>
                <w:szCs w:val="16"/>
                <w:highlight w:val="none"/>
                <w:u w:val="none"/>
                <w:lang w:val="en-US" w:eastAsia="zh-CN"/>
              </w:rPr>
              <w:t>培育壮大精细化工产业</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鼓励臻浩触媒等企业开发新产品，研发新技术，增强铝镍合金催化剂、活性炭等产品细分领域竞争力。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w:t>
            </w:r>
            <w:r>
              <w:rPr>
                <w:rFonts w:hint="eastAsia" w:ascii="宋体" w:hAnsi="宋体" w:cs="宋体"/>
                <w:i w:val="0"/>
                <w:iCs w:val="0"/>
                <w:color w:val="auto"/>
                <w:sz w:val="16"/>
                <w:szCs w:val="16"/>
                <w:highlight w:val="none"/>
                <w:u w:val="none"/>
                <w:lang w:val="en-US" w:eastAsia="zh-CN"/>
              </w:rPr>
              <w:t>发展改革</w:t>
            </w:r>
            <w:r>
              <w:rPr>
                <w:rFonts w:hint="eastAsia" w:ascii="宋体" w:hAnsi="宋体" w:eastAsia="宋体" w:cs="宋体"/>
                <w:i w:val="0"/>
                <w:iCs w:val="0"/>
                <w:color w:val="auto"/>
                <w:sz w:val="16"/>
                <w:szCs w:val="16"/>
                <w:highlight w:val="none"/>
                <w:u w:val="none"/>
                <w:lang w:val="en-US" w:eastAsia="zh-CN"/>
              </w:rPr>
              <w:t>委、能源局、生态环境局、应急管理局、水利局、科技局、投促中心，阿荣旗</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谋划臻浩触媒铝镍合金氢化催化剂项目。</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谋划糠醛下游及重质碳酸钙等新型化工项目。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98"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二</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强化四维赋能，为工业转型升级提供有力支撑</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（一）</w:t>
            </w:r>
            <w:r>
              <w:rPr>
                <w:rFonts w:hint="eastAsia" w:ascii="宋体" w:hAnsi="宋体" w:eastAsia="宋体" w:cs="宋体"/>
                <w:i w:val="0"/>
                <w:iCs w:val="0"/>
                <w:color w:val="auto"/>
                <w:sz w:val="16"/>
                <w:szCs w:val="16"/>
                <w:highlight w:val="none"/>
                <w:u w:val="none"/>
                <w:lang w:val="en-US" w:eastAsia="zh-CN"/>
              </w:rPr>
              <w:t>政策维度赋能：精准支持与改革提效</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2.深化落实国家、自治区有关政策。</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积极落实《国务院关于推动内蒙古高质量发展奋力书写中国式现代化新篇章的意见》、自治区党委《振兴蒙东措施》及自治区政府《关于授权和委托用地审批权的通知》，自然资源部《关于开展2025年度全国国土变更调查及森林草原湿地荒漠调查监测工作的通知》等政策，对《意见》明确的推动创建技术创新中心、培育发展先进制造业集群、提升电信普遍服务水平、稳步推进工业节水减排、承接产业转移等方面工作持续发力，久久为功。在电力外送、蒙东地区打造绿色氢氨醇基地建设、褐煤高质高效转化利用、开展天然气管道工程前期等方面，主动对接自治区相关厅局，争取政策、资金和项目支持，确保各项政策措施落地见效，为工业转型升级注入强大动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市发展改革委、自然资源局</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能源局，经开区，各旗市区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建立与自治区相关厅局常态化对接机制，启动工业节水减排、电力外送通道前期工作，推进技术创新中心创建、先进制造业集群培育等重点任务</w:t>
            </w:r>
            <w:r>
              <w:rPr>
                <w:rFonts w:hint="eastAsia" w:ascii="宋体" w:hAnsi="宋体" w:cs="宋体"/>
                <w:i w:val="0"/>
                <w:iCs w:val="0"/>
                <w:color w:val="auto"/>
                <w:sz w:val="16"/>
                <w:szCs w:val="16"/>
                <w:highlight w:val="none"/>
                <w:u w:val="none"/>
                <w:lang w:val="en-US" w:eastAsia="zh-CN"/>
              </w:rPr>
              <w:t>进程，积极助力蒙东地区打造绿色氢氨醇基地建设</w:t>
            </w:r>
            <w:r>
              <w:rPr>
                <w:rFonts w:hint="default" w:ascii="宋体" w:hAnsi="宋体" w:eastAsia="宋体" w:cs="宋体"/>
                <w:i w:val="0"/>
                <w:iCs w:val="0"/>
                <w:color w:val="auto"/>
                <w:sz w:val="16"/>
                <w:szCs w:val="16"/>
                <w:highlight w:val="none"/>
                <w:u w:val="none"/>
                <w:lang w:val="en-US" w:eastAsia="zh-CN"/>
              </w:rPr>
              <w:t>与褐煤转化试点，争取政策资金倾斜，夯实产业转移承接基础。依托谢尔塔拉化工集中区产业基础和资源条件，系统推进</w:t>
            </w:r>
            <w:r>
              <w:rPr>
                <w:rFonts w:hint="eastAsia" w:ascii="宋体" w:hAnsi="宋体" w:eastAsia="宋体" w:cs="宋体"/>
                <w:i w:val="0"/>
                <w:iCs w:val="0"/>
                <w:color w:val="auto"/>
                <w:sz w:val="16"/>
                <w:szCs w:val="16"/>
                <w:highlight w:val="none"/>
                <w:u w:val="none"/>
                <w:lang w:val="en-US" w:eastAsia="zh-CN"/>
              </w:rPr>
              <w:t>风光制</w:t>
            </w:r>
            <w:r>
              <w:rPr>
                <w:rFonts w:hint="default" w:ascii="宋体" w:hAnsi="宋体" w:eastAsia="宋体" w:cs="宋体"/>
                <w:i w:val="0"/>
                <w:iCs w:val="0"/>
                <w:color w:val="auto"/>
                <w:sz w:val="16"/>
                <w:szCs w:val="16"/>
                <w:highlight w:val="none"/>
                <w:u w:val="none"/>
                <w:lang w:val="en-US" w:eastAsia="zh-CN"/>
              </w:rPr>
              <w:t>氢氨醇</w:t>
            </w:r>
            <w:r>
              <w:rPr>
                <w:rFonts w:hint="eastAsia" w:ascii="宋体" w:hAnsi="宋体" w:eastAsia="宋体" w:cs="宋体"/>
                <w:i w:val="0"/>
                <w:iCs w:val="0"/>
                <w:color w:val="auto"/>
                <w:sz w:val="16"/>
                <w:szCs w:val="16"/>
                <w:highlight w:val="none"/>
                <w:u w:val="none"/>
                <w:lang w:val="en-US" w:eastAsia="zh-CN"/>
              </w:rPr>
              <w:t>一体化</w:t>
            </w:r>
            <w:r>
              <w:rPr>
                <w:rFonts w:hint="default" w:ascii="宋体" w:hAnsi="宋体" w:eastAsia="宋体" w:cs="宋体"/>
                <w:i w:val="0"/>
                <w:iCs w:val="0"/>
                <w:color w:val="auto"/>
                <w:sz w:val="16"/>
                <w:szCs w:val="16"/>
                <w:highlight w:val="none"/>
                <w:u w:val="none"/>
                <w:lang w:val="en-US" w:eastAsia="zh-CN"/>
              </w:rPr>
              <w:t>产业</w:t>
            </w:r>
            <w:r>
              <w:rPr>
                <w:rFonts w:hint="eastAsia" w:ascii="宋体" w:hAnsi="宋体" w:eastAsia="宋体" w:cs="宋体"/>
                <w:i w:val="0"/>
                <w:iCs w:val="0"/>
                <w:color w:val="auto"/>
                <w:sz w:val="16"/>
                <w:szCs w:val="16"/>
                <w:highlight w:val="none"/>
                <w:u w:val="none"/>
                <w:lang w:val="en-US" w:eastAsia="zh-CN"/>
              </w:rPr>
              <w:t>，启动生物质甲醇项目，项目产能规模不低于20万吨/年</w:t>
            </w:r>
            <w:r>
              <w:rPr>
                <w:rFonts w:hint="default" w:ascii="宋体" w:hAnsi="宋体" w:eastAsia="宋体" w:cs="宋体"/>
                <w:i w:val="0"/>
                <w:iCs w:val="0"/>
                <w:color w:val="auto"/>
                <w:sz w:val="16"/>
                <w:szCs w:val="16"/>
                <w:highlight w:val="none"/>
                <w:u w:val="none"/>
                <w:lang w:val="en-US" w:eastAsia="zh-CN"/>
              </w:rPr>
              <w:t>。</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全面落地各项政策措施，技术创新中心与先进制造业集群成型见效，电力外送、褐煤高质转化项目稳定运营，天然气管道工程稳步推进，电信普遍服务水平显著提升，生物质甲醇项目形成生产能力，政策资金持续赋能，为工业转型升级注入强劲动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96"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23.</w:t>
            </w:r>
            <w:r>
              <w:rPr>
                <w:rFonts w:hint="eastAsia" w:ascii="宋体" w:hAnsi="宋体" w:eastAsia="宋体" w:cs="宋体"/>
                <w:i w:val="0"/>
                <w:iCs w:val="0"/>
                <w:color w:val="auto"/>
                <w:sz w:val="16"/>
                <w:szCs w:val="16"/>
                <w:highlight w:val="none"/>
                <w:u w:val="none"/>
                <w:lang w:val="en-US" w:eastAsia="zh-CN"/>
              </w:rPr>
              <w:t>抢抓国家生态产品价值实现机制试点机遇</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shd w:val="clear"/>
                <w:lang w:val="en-US" w:eastAsia="zh-CN"/>
              </w:rPr>
              <w:t>推进降碳增绿、以碳生金、减碳惠民等模式路径，聚焦生态系统固碳、市场机制融碳等重点领域，加强生态系统碳汇资源开发，拓宽碳汇市场化交易路径，</w:t>
            </w:r>
            <w:r>
              <w:rPr>
                <w:rFonts w:hint="eastAsia" w:ascii="宋体" w:hAnsi="宋体" w:cs="宋体"/>
                <w:i w:val="0"/>
                <w:iCs w:val="0"/>
                <w:color w:val="auto"/>
                <w:sz w:val="16"/>
                <w:szCs w:val="16"/>
                <w:highlight w:val="none"/>
                <w:u w:val="none"/>
                <w:shd w:val="clear"/>
                <w:lang w:val="en-US" w:eastAsia="zh-CN"/>
              </w:rPr>
              <w:t>落实</w:t>
            </w:r>
            <w:r>
              <w:rPr>
                <w:rFonts w:hint="eastAsia" w:ascii="宋体" w:hAnsi="宋体" w:eastAsia="宋体" w:cs="宋体"/>
                <w:i w:val="0"/>
                <w:iCs w:val="0"/>
                <w:color w:val="auto"/>
                <w:sz w:val="16"/>
                <w:szCs w:val="16"/>
                <w:highlight w:val="none"/>
                <w:u w:val="none"/>
                <w:shd w:val="clear"/>
                <w:lang w:val="en-US" w:eastAsia="zh-CN"/>
              </w:rPr>
              <w:t>碳排放权等资源环境要素市场化交易机制，创新光伏治沙等“生态保护修复+可再生能源发展”模式，完善以商业激励、政策鼓励、减排量交易相结合的碳普惠机制。</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市发展改革委、财政局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sz w:val="16"/>
                <w:szCs w:val="16"/>
                <w:highlight w:val="none"/>
                <w:u w:val="none"/>
                <w:lang w:val="en-US" w:eastAsia="zh-CN"/>
              </w:rPr>
              <w:t>自然资源局、生态环境局、水利局、农牧局、文旅广局、统计局、林草局、人民银行、金融监管分局</w:t>
            </w:r>
            <w:r>
              <w:rPr>
                <w:rFonts w:hint="eastAsia" w:ascii="宋体" w:hAnsi="宋体" w:cs="宋体"/>
                <w:i w:val="0"/>
                <w:iCs w:val="0"/>
                <w:color w:val="auto"/>
                <w:sz w:val="16"/>
                <w:szCs w:val="16"/>
                <w:highlight w:val="none"/>
                <w:u w:val="none"/>
                <w:lang w:val="en-US" w:eastAsia="zh-CN"/>
              </w:rPr>
              <w:t>，内蒙古森工集团</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开展生态系统碳汇资源普查，搭建碳汇市场化交易初步平台；试点光伏治沙等“生态修复+新能源”模式，出台碳普惠机制政策框架；启动碳排放权交易配套制度建设，拓宽碳汇交易初期路径，夯实降碳增绿基础。</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成完善的碳汇市场化交易体系，“生态修复+新能源”模式规模化推广；碳排放权等要素交易机制高效运转，碳普惠机制实现商业激励与减排交易联动；碳汇开发与转化成效显著，形成“以碳生金、减碳惠民”良性循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21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24.</w:t>
            </w:r>
            <w:r>
              <w:rPr>
                <w:rFonts w:hint="eastAsia" w:ascii="宋体" w:hAnsi="宋体" w:eastAsia="宋体" w:cs="宋体"/>
                <w:i w:val="0"/>
                <w:iCs w:val="0"/>
                <w:color w:val="auto"/>
                <w:sz w:val="16"/>
                <w:szCs w:val="16"/>
                <w:highlight w:val="none"/>
                <w:u w:val="none"/>
                <w:lang w:val="en-US" w:eastAsia="zh-CN"/>
              </w:rPr>
              <w:t>落细绿色金融产品政策。</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创新探索碳资产质押贷款等绿色金融途径，为企业提供多元化融资支持。组织银行、保险等金融机构创新绿色金融工具，推广碳资产质押贷款、环境权益抵质押融资、绿色信贷、绿色债券等产品，为企业绿色转型、环保改造、新能源项目建设提供资金支持。</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市人民银行、</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金融监管分局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w:t>
            </w:r>
            <w:r>
              <w:rPr>
                <w:rFonts w:hint="eastAsia" w:ascii="宋体" w:hAnsi="宋体" w:cs="宋体"/>
                <w:i w:val="0"/>
                <w:iCs w:val="0"/>
                <w:color w:val="auto"/>
                <w:sz w:val="16"/>
                <w:szCs w:val="16"/>
                <w:highlight w:val="none"/>
                <w:u w:val="none"/>
                <w:lang w:val="en-US" w:eastAsia="zh-CN"/>
              </w:rPr>
              <w:t>工信局、能源局、</w:t>
            </w:r>
            <w:r>
              <w:rPr>
                <w:rFonts w:hint="eastAsia" w:ascii="宋体" w:hAnsi="宋体" w:eastAsia="宋体" w:cs="宋体"/>
                <w:i w:val="0"/>
                <w:iCs w:val="0"/>
                <w:color w:val="auto"/>
                <w:sz w:val="16"/>
                <w:szCs w:val="16"/>
                <w:highlight w:val="none"/>
                <w:u w:val="none"/>
                <w:lang w:val="en-US" w:eastAsia="zh-CN"/>
              </w:rPr>
              <w:t>生态环境局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银保等金融机构与企业绿色融资对接机制，试点碳资产质押贷款、环境权益抵质押融资产品；出台绿色金融支持细则，推广绿色信贷基础产品；初步满足企业绿色转型、环保改造初期资金需求，搭建绿色金融服务框架。</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形成碳资产质押贷款、绿色债券等多元化绿色金融产品体系，实现规模化推广；绿色融资覆盖面延伸至新能源全产业链，资金投放效率显著提升；构建可持续的绿色金融赋能机制，为工业绿色低碳转型提供稳定资金支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50"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kern w:val="0"/>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二</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强化四维赋能，为工业转型升级提供有力支撑</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（二）</w:t>
            </w:r>
            <w:r>
              <w:rPr>
                <w:rFonts w:hint="eastAsia" w:ascii="宋体" w:hAnsi="宋体" w:eastAsia="宋体" w:cs="宋体"/>
                <w:i w:val="0"/>
                <w:iCs w:val="0"/>
                <w:color w:val="auto"/>
                <w:sz w:val="16"/>
                <w:szCs w:val="16"/>
                <w:highlight w:val="none"/>
                <w:u w:val="none"/>
                <w:lang w:val="en-US" w:eastAsia="zh-CN"/>
              </w:rPr>
              <w:t>平台维度赋能：园区提质与创新支撑</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25.</w:t>
            </w:r>
            <w:r>
              <w:rPr>
                <w:rFonts w:hint="eastAsia" w:ascii="宋体" w:hAnsi="宋体" w:eastAsia="宋体" w:cs="宋体"/>
                <w:i w:val="0"/>
                <w:iCs w:val="0"/>
                <w:color w:val="auto"/>
                <w:sz w:val="16"/>
                <w:szCs w:val="16"/>
                <w:highlight w:val="none"/>
                <w:u w:val="none"/>
                <w:lang w:val="en-US" w:eastAsia="zh-CN"/>
              </w:rPr>
              <w:t>提质壮大经开区实力。</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持续推进区域一体化发展，强化片区协同联动，以零碳园区、碳达峰试点园区创建为引领，优化升级绿色能源化工、冶金新材料、装备制造、生物医药及现代服务业五大产业链，前瞻布局未来产业，推动深化“管委会＋公司”改革，激活园区发展内生动力，加快基础设施提档升级，持续优化营商环境，全面提高招商引资成效，不断增强产业承载能力，构建多点支撑的产业发展格局。</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经开区</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市工信局、发展改革委、商务局、能源局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以持续推动</w:t>
            </w:r>
            <w:r>
              <w:rPr>
                <w:rFonts w:hint="eastAsia" w:ascii="宋体" w:hAnsi="宋体" w:eastAsia="宋体" w:cs="宋体"/>
                <w:i w:val="0"/>
                <w:iCs w:val="0"/>
                <w:color w:val="auto"/>
                <w:sz w:val="16"/>
                <w:szCs w:val="16"/>
                <w:highlight w:val="none"/>
                <w:u w:val="none"/>
                <w:lang w:val="en-US" w:eastAsia="zh-CN"/>
              </w:rPr>
              <w:t>一体化发展，提质片区联动，</w:t>
            </w:r>
            <w:r>
              <w:rPr>
                <w:rFonts w:hint="eastAsia" w:ascii="宋体" w:hAnsi="宋体" w:cs="宋体"/>
                <w:i w:val="0"/>
                <w:iCs w:val="0"/>
                <w:color w:val="auto"/>
                <w:sz w:val="16"/>
                <w:szCs w:val="16"/>
                <w:highlight w:val="none"/>
                <w:u w:val="none"/>
                <w:lang w:val="en-US" w:eastAsia="zh-CN"/>
              </w:rPr>
              <w:t>壮大</w:t>
            </w:r>
            <w:r>
              <w:rPr>
                <w:rFonts w:hint="eastAsia" w:ascii="宋体" w:hAnsi="宋体" w:eastAsia="宋体" w:cs="宋体"/>
                <w:i w:val="0"/>
                <w:iCs w:val="0"/>
                <w:color w:val="auto"/>
                <w:sz w:val="16"/>
                <w:szCs w:val="16"/>
                <w:highlight w:val="none"/>
                <w:u w:val="none"/>
                <w:lang w:val="en-US" w:eastAsia="zh-CN"/>
              </w:rPr>
              <w:t>5大产业链，前瞻布局未来产业</w:t>
            </w:r>
            <w:r>
              <w:rPr>
                <w:rFonts w:hint="eastAsia" w:ascii="宋体" w:hAnsi="宋体" w:cs="宋体"/>
                <w:i w:val="0"/>
                <w:iCs w:val="0"/>
                <w:color w:val="auto"/>
                <w:sz w:val="16"/>
                <w:szCs w:val="16"/>
                <w:highlight w:val="none"/>
                <w:u w:val="none"/>
                <w:lang w:val="en-US" w:eastAsia="zh-CN"/>
              </w:rPr>
              <w:t>为定位，编制《呼伦贝尔经济技术开发区“十五五”规划纲要》和《呼伦贝尔经济技术开发区产业发展规划》。</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深</w:t>
            </w:r>
            <w:r>
              <w:rPr>
                <w:rFonts w:hint="eastAsia" w:ascii="宋体" w:hAnsi="宋体" w:eastAsia="宋体" w:cs="宋体"/>
                <w:i w:val="0"/>
                <w:iCs w:val="0"/>
                <w:color w:val="auto"/>
                <w:sz w:val="16"/>
                <w:szCs w:val="16"/>
                <w:highlight w:val="none"/>
                <w:u w:val="none"/>
                <w:lang w:val="en-US" w:eastAsia="zh-CN"/>
              </w:rPr>
              <w:t>化区域一体化发展与片区协同联动机制，做强做优五大产业链，延伸上下游配套链条、提升产品附加值。持续深化“管委会＋公司”改革，全面激活园区市场化运营内生动力，完善园区基础设施体系，强化精准招商与项目落地全流程服务，显著提升产业承载与集聚能力，打造市场化、法治化、国际化一流营商环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396"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26.</w:t>
            </w:r>
            <w:r>
              <w:rPr>
                <w:rFonts w:hint="eastAsia" w:ascii="宋体" w:hAnsi="宋体" w:eastAsia="宋体" w:cs="宋体"/>
                <w:i w:val="0"/>
                <w:iCs w:val="0"/>
                <w:color w:val="auto"/>
                <w:sz w:val="16"/>
                <w:szCs w:val="16"/>
                <w:highlight w:val="none"/>
                <w:u w:val="none"/>
                <w:lang w:val="en-US" w:eastAsia="zh-CN"/>
              </w:rPr>
              <w:t>聚力打造满洲里产业协作园区。</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结合自贸试验区满洲里片区建设，整合边境经济合作区、综保区、互贸区等区域，探索推进以满洲里产业协作园区为核心承载平台，创新“共建共享、优势互补”的飞地发展模式，推动项目集中、产业集聚、要素集约，构建区域联动、互利共赢的产业发展新格局。鼓励各旗市区、园区之间打破行政壁垒，按照“优势互补、自愿合作、利益共享”的原则，加大对产业协作园区的基础设施投入。</w:t>
            </w:r>
            <w:r>
              <w:rPr>
                <w:rFonts w:hint="default" w:ascii="宋体" w:hAnsi="宋体" w:eastAsia="宋体" w:cs="宋体"/>
                <w:i w:val="0"/>
                <w:iCs w:val="0"/>
                <w:color w:val="auto"/>
                <w:sz w:val="16"/>
                <w:szCs w:val="16"/>
                <w:highlight w:val="none"/>
                <w:u w:val="none"/>
                <w:lang w:val="en-US" w:eastAsia="zh-CN"/>
              </w:rPr>
              <w:t>完善“口岸+腹地”联动机制，</w:t>
            </w:r>
            <w:r>
              <w:rPr>
                <w:rFonts w:hint="eastAsia" w:ascii="宋体" w:hAnsi="宋体" w:eastAsia="宋体" w:cs="宋体"/>
                <w:i w:val="0"/>
                <w:iCs w:val="0"/>
                <w:color w:val="auto"/>
                <w:sz w:val="16"/>
                <w:szCs w:val="16"/>
                <w:highlight w:val="none"/>
                <w:u w:val="none"/>
                <w:lang w:val="en-US" w:eastAsia="zh-CN"/>
              </w:rPr>
              <w:t>推进满扎一体化发展，</w:t>
            </w:r>
            <w:r>
              <w:rPr>
                <w:rFonts w:hint="default" w:ascii="宋体" w:hAnsi="宋体" w:eastAsia="宋体" w:cs="宋体"/>
                <w:i w:val="0"/>
                <w:iCs w:val="0"/>
                <w:color w:val="auto"/>
                <w:sz w:val="16"/>
                <w:szCs w:val="16"/>
                <w:highlight w:val="none"/>
                <w:u w:val="none"/>
                <w:lang w:val="en-US" w:eastAsia="zh-CN"/>
              </w:rPr>
              <w:t>实现进口煤炭、</w:t>
            </w:r>
            <w:r>
              <w:rPr>
                <w:rFonts w:hint="eastAsia" w:ascii="宋体" w:hAnsi="宋体" w:eastAsia="宋体" w:cs="宋体"/>
                <w:i w:val="0"/>
                <w:iCs w:val="0"/>
                <w:color w:val="auto"/>
                <w:sz w:val="16"/>
                <w:szCs w:val="16"/>
                <w:highlight w:val="none"/>
                <w:u w:val="none"/>
                <w:lang w:val="en-US" w:eastAsia="zh-CN"/>
              </w:rPr>
              <w:t>液化石油气</w:t>
            </w:r>
            <w:r>
              <w:rPr>
                <w:rFonts w:hint="default" w:ascii="宋体" w:hAnsi="宋体" w:eastAsia="宋体" w:cs="宋体"/>
                <w:i w:val="0"/>
                <w:iCs w:val="0"/>
                <w:color w:val="auto"/>
                <w:sz w:val="16"/>
                <w:szCs w:val="16"/>
                <w:highlight w:val="none"/>
                <w:u w:val="none"/>
                <w:lang w:val="en-US" w:eastAsia="zh-CN"/>
              </w:rPr>
              <w:t>、矿石等资源园区加工后向腹地分销，推动口岸经济从</w:t>
            </w:r>
            <w:r>
              <w:rPr>
                <w:rFonts w:hint="eastAsia" w:ascii="宋体" w:hAnsi="宋体" w:eastAsia="宋体" w:cs="宋体"/>
                <w:i w:val="0"/>
                <w:iCs w:val="0"/>
                <w:color w:val="auto"/>
                <w:sz w:val="16"/>
                <w:szCs w:val="16"/>
                <w:highlight w:val="none"/>
                <w:u w:val="none"/>
                <w:lang w:val="en-US" w:eastAsia="zh-CN"/>
              </w:rPr>
              <w:t>“</w:t>
            </w:r>
            <w:r>
              <w:rPr>
                <w:rFonts w:hint="default" w:ascii="宋体" w:hAnsi="宋体" w:eastAsia="宋体" w:cs="宋体"/>
                <w:i w:val="0"/>
                <w:iCs w:val="0"/>
                <w:color w:val="auto"/>
                <w:sz w:val="16"/>
                <w:szCs w:val="16"/>
                <w:highlight w:val="none"/>
                <w:u w:val="none"/>
                <w:lang w:val="en-US" w:eastAsia="zh-CN"/>
              </w:rPr>
              <w:t>通道</w:t>
            </w:r>
            <w:r>
              <w:rPr>
                <w:rFonts w:hint="eastAsia" w:ascii="宋体" w:hAnsi="宋体" w:eastAsia="宋体" w:cs="宋体"/>
                <w:i w:val="0"/>
                <w:iCs w:val="0"/>
                <w:color w:val="auto"/>
                <w:sz w:val="16"/>
                <w:szCs w:val="16"/>
                <w:highlight w:val="none"/>
                <w:u w:val="none"/>
                <w:lang w:val="en-US" w:eastAsia="zh-CN"/>
              </w:rPr>
              <w:t>经济</w:t>
            </w:r>
            <w:r>
              <w:rPr>
                <w:rFonts w:hint="default" w:ascii="宋体" w:hAnsi="宋体" w:eastAsia="宋体" w:cs="宋体"/>
                <w:i w:val="0"/>
                <w:iCs w:val="0"/>
                <w:color w:val="auto"/>
                <w:sz w:val="16"/>
                <w:szCs w:val="16"/>
                <w:highlight w:val="none"/>
                <w:u w:val="none"/>
                <w:lang w:val="en-US" w:eastAsia="zh-CN"/>
              </w:rPr>
              <w:t>”向“</w:t>
            </w:r>
            <w:r>
              <w:rPr>
                <w:rFonts w:hint="eastAsia" w:ascii="宋体" w:hAnsi="宋体" w:eastAsia="宋体" w:cs="宋体"/>
                <w:i w:val="0"/>
                <w:iCs w:val="0"/>
                <w:color w:val="auto"/>
                <w:sz w:val="16"/>
                <w:szCs w:val="16"/>
                <w:highlight w:val="none"/>
                <w:u w:val="none"/>
                <w:lang w:val="en-US" w:eastAsia="zh-CN"/>
              </w:rPr>
              <w:t>落地经济</w:t>
            </w:r>
            <w:r>
              <w:rPr>
                <w:rFonts w:hint="default" w:ascii="宋体" w:hAnsi="宋体" w:eastAsia="宋体" w:cs="宋体"/>
                <w:i w:val="0"/>
                <w:iCs w:val="0"/>
                <w:color w:val="auto"/>
                <w:sz w:val="16"/>
                <w:szCs w:val="16"/>
                <w:highlight w:val="none"/>
                <w:u w:val="none"/>
                <w:lang w:val="en-US" w:eastAsia="zh-CN"/>
              </w:rPr>
              <w:t>”转型。</w:t>
            </w:r>
          </w:p>
        </w:tc>
        <w:tc>
          <w:tcPr>
            <w:tcW w:w="141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满洲里市</w:t>
            </w:r>
          </w:p>
        </w:tc>
        <w:tc>
          <w:tcPr>
            <w:tcW w:w="14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市发展改革委、商务局、工信局、财政局、税务局，各旗市区、经开区、各工业园区，满洲里海关，陆港集团</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探索建设“园中园”发展模式，推进满洲里产业协作园区与各旗市区、经开区协同联动，</w:t>
            </w:r>
            <w:r>
              <w:rPr>
                <w:rFonts w:hint="eastAsia" w:ascii="宋体" w:hAnsi="宋体" w:eastAsia="宋体" w:cs="宋体"/>
                <w:i w:val="0"/>
                <w:iCs w:val="0"/>
                <w:color w:val="auto"/>
                <w:sz w:val="16"/>
                <w:szCs w:val="16"/>
                <w:highlight w:val="none"/>
                <w:u w:val="none"/>
                <w:lang w:val="en-US" w:eastAsia="zh-CN"/>
              </w:rPr>
              <w:t>创新“共建共享、优势互补”的飞地发展模式，推动项目集中、产业集聚、要素集约。</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聚焦区域协同发展目标，深化满洲里产业协作园区与腹地工业园区联动发展，按照“优势互补、自愿合作、利益共享”的原则，将现有工业园区打造为协作园区重要产业支撑载体，全面形成区域一体化发展新格局</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完善“口岸+腹地”联动机制，实现进口煤炭、液化石油气、矿石等资源园区加工后向腹地分销，推动口岸经济从“通道型”向“产业型”转型。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25"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27.</w:t>
            </w:r>
            <w:r>
              <w:rPr>
                <w:rFonts w:hint="eastAsia" w:ascii="宋体" w:hAnsi="宋体" w:eastAsia="宋体" w:cs="宋体"/>
                <w:i w:val="0"/>
                <w:iCs w:val="0"/>
                <w:color w:val="auto"/>
                <w:sz w:val="16"/>
                <w:szCs w:val="16"/>
                <w:highlight w:val="none"/>
                <w:u w:val="none"/>
                <w:lang w:val="en-US" w:eastAsia="zh-CN"/>
              </w:rPr>
              <w:t>提升园区基础设施水平。</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扎实推进工业园区“基础设施补短板”建设，持续完善道路、给排水、供电、供热、燃气、通信、物流等核心配套设施，大幅提升承载能力。</w:t>
            </w:r>
          </w:p>
        </w:tc>
        <w:tc>
          <w:tcPr>
            <w:tcW w:w="141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市能源局、生态环境局、应急管理局、通管办，经开区、</w:t>
            </w:r>
            <w:r>
              <w:rPr>
                <w:rFonts w:hint="eastAsia" w:ascii="宋体" w:hAnsi="宋体" w:cs="宋体"/>
                <w:i w:val="0"/>
                <w:iCs w:val="0"/>
                <w:color w:val="auto"/>
                <w:sz w:val="16"/>
                <w:szCs w:val="16"/>
                <w:highlight w:val="none"/>
                <w:u w:val="none"/>
                <w:lang w:val="en-US" w:eastAsia="zh-CN"/>
              </w:rPr>
              <w:t>有关</w:t>
            </w:r>
            <w:r>
              <w:rPr>
                <w:rFonts w:hint="eastAsia" w:ascii="宋体" w:hAnsi="宋体" w:eastAsia="宋体" w:cs="宋体"/>
                <w:i w:val="0"/>
                <w:iCs w:val="0"/>
                <w:color w:val="auto"/>
                <w:sz w:val="16"/>
                <w:szCs w:val="16"/>
                <w:highlight w:val="none"/>
                <w:u w:val="none"/>
                <w:lang w:val="en-US" w:eastAsia="zh-CN"/>
              </w:rPr>
              <w:t>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建立并动态管理工业园区基础设施项目库，加强资金政策研究，争取上级专项资金支持园区配套基础设施项目建设，提升综合承载能力。</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紧盯上级资金政策导向，全力争取专项资金倾斜，保障园区配套基础设施提质升级，促进工业园区高质量发展。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740" w:hRule="atLeast"/>
          <w:jc w:val="center"/>
        </w:trPr>
        <w:tc>
          <w:tcPr>
            <w:tcW w:w="1296" w:type="dxa"/>
            <w:vMerge w:val="continue"/>
            <w:tcBorders>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1022"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1447"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color w:val="auto"/>
                <w:highlight w:val="none"/>
              </w:rPr>
            </w:pP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强化安全环保、应急救援能力建设，全面保障企业生产经营需求；加速园区数字化转型进程，强化智慧园区平台功能与运行维护，以数字化手段提升园区综合管理效能和精准服务水平，构建服务功能完备、产业结构合理、特色产业集聚、体制机制健全的工业园区体系。</w:t>
            </w:r>
          </w:p>
        </w:tc>
        <w:tc>
          <w:tcPr>
            <w:tcW w:w="141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重点推进呼伦贝尔经开区智能交通、消防特勤站、危化品专用停车场等项目建设，</w:t>
            </w:r>
            <w:r>
              <w:rPr>
                <w:rFonts w:hint="eastAsia" w:ascii="宋体" w:hAnsi="宋体" w:eastAsia="宋体" w:cs="宋体"/>
                <w:i w:val="0"/>
                <w:iCs w:val="0"/>
                <w:color w:val="auto"/>
                <w:sz w:val="16"/>
                <w:szCs w:val="16"/>
                <w:highlight w:val="none"/>
                <w:u w:val="none"/>
                <w:lang w:val="en-US" w:eastAsia="zh-CN"/>
              </w:rPr>
              <w:t>完成智慧园区平台基础功能模块的优化与数据对接，提升对基础设施运行的在线监测覆盖。</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聚焦全面夯实工业园区综合承载能力，建强工业园区基础设施项目动态管理库，</w:t>
            </w:r>
            <w:r>
              <w:rPr>
                <w:rFonts w:hint="eastAsia" w:ascii="宋体" w:hAnsi="宋体" w:eastAsia="宋体" w:cs="宋体"/>
                <w:i w:val="0"/>
                <w:iCs w:val="0"/>
                <w:color w:val="auto"/>
                <w:sz w:val="16"/>
                <w:szCs w:val="16"/>
                <w:highlight w:val="none"/>
                <w:u w:val="none"/>
                <w:lang w:val="en-US" w:eastAsia="zh-CN"/>
              </w:rPr>
              <w:t>形成与园区发展动态匹配、定期评估更新的基础设施“规划-建设-运维-升级”全生命周期管理模式，支撑构建服务完备、产业集聚的现代工业园区体系。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89"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sz w:val="16"/>
                <w:szCs w:val="16"/>
                <w:highlight w:val="none"/>
                <w:u w:val="none"/>
                <w:lang w:val="en-US" w:eastAsia="zh-CN"/>
              </w:rPr>
              <w:t>二</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强化四维赋能，为工业转型升级提供有力支撑</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（三）机制维度赋能：协同联动与活力激发</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28.</w:t>
            </w:r>
            <w:r>
              <w:rPr>
                <w:rFonts w:hint="eastAsia" w:ascii="宋体" w:hAnsi="宋体" w:eastAsia="宋体" w:cs="宋体"/>
                <w:i w:val="0"/>
                <w:iCs w:val="0"/>
                <w:color w:val="auto"/>
                <w:sz w:val="16"/>
                <w:szCs w:val="16"/>
                <w:highlight w:val="none"/>
                <w:u w:val="none"/>
                <w:lang w:val="en-US" w:eastAsia="zh-CN"/>
              </w:rPr>
              <w:t>构建“规划—项目—落地”动态衔接机制。</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以《呼伦贝尔市“十五五”新型工业化规划》为引领，以《呼伦贝尔市重点项目滚动式调度推进运行机制》为抓手，对工业项目库实施“成熟一批、开工一批、储备一批”的梯次动态管理。每年一季度集中开展项目库评估更新与优化，力促在库项目加快建设进度、形成有效实物工作量，推动尽早实现竣工投产；督促拟建项目压茬推进前期手续办理，保障上半年实现开工、纳统目标；指导在谋项目深化可行性论证、做实做细建设方案，确保年内实质性开展前期手续办理。</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能源局，各旗市区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完善工业项目库梯次动态管理细则，每年一季度完成项目库评估更新；推动在库项目加快建设形成实物工作量，督促拟建项目上半年开工纳统；指导在谋项目深化论证，年内实质性启动前期手续，筑牢项目推进基础。</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建成高效运转的项目梯次推进体系，项目库动态优化机制常态化；在库项目竣工投产率显著提升，拟建项目开工纳统时效提速，在谋项目转化效率提高，形成“储备-开工-投产”良性循环。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1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29.</w:t>
            </w:r>
            <w:r>
              <w:rPr>
                <w:rFonts w:hint="eastAsia" w:ascii="宋体" w:hAnsi="宋体" w:eastAsia="宋体" w:cs="宋体"/>
                <w:i w:val="0"/>
                <w:iCs w:val="0"/>
                <w:color w:val="auto"/>
                <w:sz w:val="16"/>
                <w:szCs w:val="16"/>
                <w:highlight w:val="none"/>
                <w:u w:val="none"/>
                <w:lang w:val="en-US" w:eastAsia="zh-CN"/>
              </w:rPr>
              <w:t>理顺项目手续办理规程。</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聚焦重点产业项目，强化用地指标、能耗配额、环评审批、电网接入、水资源论证、林地征占等关键要素保障，推行清单化管理；全面落实“证照联办”“并联审批”模式，严格落实审批事项负面清单管理，推行容缺受理、告知承诺制，最大限度简化审批流程、压缩办理时限，为平台融合升级、项目早落地、早开工、早见效提供坚实制度保障和高效服务支撑。</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sz w:val="16"/>
                <w:szCs w:val="16"/>
                <w:highlight w:val="none"/>
                <w:u w:val="none"/>
                <w:lang w:val="en-US" w:eastAsia="zh-CN"/>
              </w:rPr>
              <w:t>工信局、能源局、自然资源局、生态环境局、住建局、水利局、林草局、应急局、市场监管局、政数局，各旗市区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建立重点产业项目关键要素保障清单，明确用地、能耗等指标配置标准；全面推行“证照联办”“并联审批”，落实容缺受理与告知承诺制；</w:t>
            </w:r>
            <w:r>
              <w:rPr>
                <w:rFonts w:hint="eastAsia" w:ascii="宋体" w:hAnsi="宋体" w:eastAsia="宋体" w:cs="宋体"/>
                <w:i w:val="0"/>
                <w:iCs w:val="0"/>
                <w:color w:val="auto"/>
                <w:sz w:val="16"/>
                <w:szCs w:val="16"/>
                <w:highlight w:val="none"/>
                <w:u w:val="none"/>
                <w:lang w:val="en-US" w:eastAsia="zh-CN"/>
              </w:rPr>
              <w:t>积极</w:t>
            </w:r>
            <w:r>
              <w:rPr>
                <w:rFonts w:hint="eastAsia" w:ascii="宋体" w:hAnsi="宋体" w:cs="宋体"/>
                <w:i w:val="0"/>
                <w:iCs w:val="0"/>
                <w:color w:val="auto"/>
                <w:sz w:val="16"/>
                <w:szCs w:val="16"/>
                <w:highlight w:val="none"/>
                <w:u w:val="none"/>
                <w:lang w:val="en-US" w:eastAsia="zh-CN"/>
              </w:rPr>
              <w:t>争取</w:t>
            </w:r>
            <w:r>
              <w:rPr>
                <w:rFonts w:hint="eastAsia" w:ascii="宋体" w:hAnsi="宋体" w:eastAsia="宋体" w:cs="宋体"/>
                <w:i w:val="0"/>
                <w:iCs w:val="0"/>
                <w:color w:val="auto"/>
                <w:sz w:val="16"/>
                <w:szCs w:val="16"/>
                <w:highlight w:val="none"/>
                <w:u w:val="none"/>
                <w:lang w:val="en-US" w:eastAsia="zh-CN"/>
              </w:rPr>
              <w:t>自治区用地指标支持倾斜，高效推进项目用地手续的办理进程</w:t>
            </w:r>
            <w:r>
              <w:rPr>
                <w:rFonts w:hint="eastAsia" w:ascii="宋体" w:hAnsi="宋体" w:cs="宋体"/>
                <w:i w:val="0"/>
                <w:iCs w:val="0"/>
                <w:color w:val="auto"/>
                <w:sz w:val="16"/>
                <w:szCs w:val="16"/>
                <w:highlight w:val="none"/>
                <w:u w:val="none"/>
                <w:lang w:val="en-US" w:eastAsia="zh-CN"/>
              </w:rPr>
              <w:t>；</w:t>
            </w:r>
            <w:r>
              <w:rPr>
                <w:rFonts w:hint="default" w:ascii="宋体" w:hAnsi="宋体" w:eastAsia="宋体" w:cs="宋体"/>
                <w:i w:val="0"/>
                <w:iCs w:val="0"/>
                <w:color w:val="auto"/>
                <w:sz w:val="16"/>
                <w:szCs w:val="16"/>
                <w:highlight w:val="none"/>
                <w:u w:val="none"/>
                <w:lang w:val="en-US" w:eastAsia="zh-CN"/>
              </w:rPr>
              <w:t>梳理审批负面清单，简化流程、压缩时限，初步构建高效审批服务框架，保障项目落地时效。</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要素保障清单化管理精准高效，审批改革模式常态化运转；“放管服”改革深度落地，审批流程最优、时限最短；形成制度完善、服务优质的保障体系，实现项目“早落地、早开工、早见效”，全面支撑工业高质量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79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30.深化开发区管理制度改革。</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以深化“管委会+公司”改革为抓手，全面压实共建产业园职责、明确统计管理方式，理顺管理机制，提升经开区管理效能。健全跨部门协同联动机制，打破层级壁垒与条块分割，构建权责清晰、运转高效、务实管用的全流程服务体系，进一步提高项目落地、建设、竣工全流程服务质效，切实优化经开区营商环境，全面激发经开区内生发展活力。深化“一区六园”整合提升战略，坚持规划引领、功能互补、错位发展原则，科学编制开发区总体发展规划和各园区专项产业布局方案，强化统一规划管控和资源统筹配置。重点推动经开区与综合保税区、海拉尔区在产业协同、基础设施互联互通等方面实现一体化发展。推动开发区与城市建成区功能耦合、产城融合，实现经开区“一区六园”从物理聚合向化学融合转变，从“园区孤岛”向“产城一体”转型，为区域高质量发展注入强劲动能。</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经开区</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市工信局、发展改革委、自然资源局、财政局、税务局、政数局，海拉尔区、满洲里市、扎兰屯市、额尔古纳市、鄂温克旗</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1.深化经开区体制机制改革，尽快出台支持经开区体制机制改革相关文件，优化经开区管理效能。</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2.深化“管委会+公司”改革，优化平台公司结构，厘清管委会、公司职责，推进平台公司市场化、规范化运行。</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3.加快推进经开区产业规划编制，明确“一区六园”产业发展方向。</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1.进一步深化经开区人事管理改革，充分激发经开区发展活力。</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2.以产业规划为指引，进一步深化“一区六园”产业协同、项目谋划、招商引资等各项工作，重点推动经开区与海拉尔区、满洲里综保区一体化发展，力争在产业协同上取得重大突破。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95"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二</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强化四维赋能，为工业转型升级提供有力支撑</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w:t>
            </w:r>
            <w:r>
              <w:rPr>
                <w:rFonts w:hint="eastAsia" w:ascii="宋体" w:hAnsi="宋体" w:cs="宋体"/>
                <w:i w:val="0"/>
                <w:iCs w:val="0"/>
                <w:color w:val="auto"/>
                <w:sz w:val="16"/>
                <w:szCs w:val="16"/>
                <w:highlight w:val="none"/>
                <w:u w:val="none"/>
                <w:lang w:val="en-US" w:eastAsia="zh-CN"/>
              </w:rPr>
              <w:t>四</w:t>
            </w:r>
            <w:r>
              <w:rPr>
                <w:rFonts w:hint="eastAsia" w:ascii="宋体" w:hAnsi="宋体" w:eastAsia="宋体" w:cs="宋体"/>
                <w:i w:val="0"/>
                <w:iCs w:val="0"/>
                <w:color w:val="auto"/>
                <w:sz w:val="16"/>
                <w:szCs w:val="16"/>
                <w:highlight w:val="none"/>
                <w:u w:val="none"/>
                <w:lang w:val="en-US" w:eastAsia="zh-CN"/>
              </w:rPr>
              <w:t>）科技维度赋能：创新驱动与数智引领</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31</w:t>
            </w:r>
            <w:r>
              <w:rPr>
                <w:rFonts w:hint="eastAsia" w:ascii="宋体" w:hAnsi="宋体" w:eastAsia="宋体" w:cs="宋体"/>
                <w:i w:val="0"/>
                <w:iCs w:val="0"/>
                <w:color w:val="auto"/>
                <w:sz w:val="16"/>
                <w:szCs w:val="16"/>
                <w:highlight w:val="none"/>
                <w:u w:val="none"/>
                <w:lang w:val="en-US" w:eastAsia="zh-CN"/>
              </w:rPr>
              <w:t>.加强创新主体梯度培育。</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坚持做好优质中小企业梯度培育工作，积极引导企业走“专精特新”发展之路，鼓励企业应申尽申，促进政策应享尽享，培育新增优质中小企业15户左右，支持引导科技型、创新型和“专精特新”企业向“小巨人”企业迈进。促进关键技术落地转化与产业协同创新能力持续提升，逐步通过科技创新手段完善产业链配套，提升市域产业整体竞争力。抓好“小升规”梯度培育，健全工业企业培育库，聚焦重点企业生产经营状况，推动尽早升规纳统。</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市科技局、统计局</w:t>
            </w:r>
            <w:r>
              <w:rPr>
                <w:rFonts w:hint="eastAsia" w:ascii="宋体" w:hAnsi="宋体" w:cs="宋体"/>
                <w:i w:val="0"/>
                <w:iCs w:val="0"/>
                <w:color w:val="auto"/>
                <w:sz w:val="16"/>
                <w:szCs w:val="16"/>
                <w:highlight w:val="none"/>
                <w:u w:val="none"/>
                <w:lang w:val="en-US" w:eastAsia="zh-CN"/>
              </w:rPr>
              <w:t>，各旗市区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新增优质中小企业5户左右。</w:t>
            </w:r>
            <w:r>
              <w:rPr>
                <w:rFonts w:hint="eastAsia" w:ascii="宋体" w:hAnsi="宋体" w:eastAsia="宋体" w:cs="宋体"/>
                <w:i w:val="0"/>
                <w:iCs w:val="0"/>
                <w:color w:val="auto"/>
                <w:sz w:val="16"/>
                <w:szCs w:val="16"/>
                <w:highlight w:val="none"/>
                <w:u w:val="none"/>
                <w:lang w:val="en-US" w:eastAsia="zh-CN"/>
              </w:rPr>
              <w:t>促进关键技术落地转化与产业协同创新能力持续提升，逐步通过科技创新手段完善产业链配套，提升市域产业整体竞争力。建立工业企业培育库，摸清“个转企、小升规”重点对象生产经营状况，出台梯度培育扶持措施，精准对接企业需求、破解发展瓶颈，推动潜力企业升规纳统。</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新增优质中小企业10户左右。逐步构建“科技创新+研发制造+成果转化”的完整产业链条，增强产业发展协同性。完善梯度培育长效机制，优化培育库动态管理与精准服务，聚焦优质潜力企业强化全流程扶持，稳步提高“个转企、小升规”转化率，持续壮大规上工业企业队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28"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32</w:t>
            </w:r>
            <w:r>
              <w:rPr>
                <w:rFonts w:hint="eastAsia" w:ascii="宋体" w:hAnsi="宋体" w:eastAsia="宋体" w:cs="宋体"/>
                <w:i w:val="0"/>
                <w:iCs w:val="0"/>
                <w:color w:val="auto"/>
                <w:sz w:val="16"/>
                <w:szCs w:val="16"/>
                <w:highlight w:val="none"/>
                <w:u w:val="none"/>
                <w:lang w:val="en-US" w:eastAsia="zh-CN"/>
              </w:rPr>
              <w:t>.积极构建多层次创新平台。</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支持企业与高校、科研院所合作共建重点实验室等创新平台，集中开展关键核心技术攻关与成果产业化；鼓励企业牵头组建创新联合体，有效整合产业链创新资源，持续提升产业整体创新能力。谋划建设国家极冷资源科学中心。加快构建覆盖全季节、全场景测试服务体系，推动高寒整车测试等项目落户呼伦贝尔。</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市科技局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市工信局</w:t>
            </w:r>
            <w:r>
              <w:rPr>
                <w:rFonts w:hint="eastAsia" w:ascii="宋体" w:hAnsi="宋体" w:eastAsia="宋体" w:cs="宋体"/>
                <w:i w:val="0"/>
                <w:iCs w:val="0"/>
                <w:color w:val="auto"/>
                <w:sz w:val="16"/>
                <w:szCs w:val="16"/>
                <w:highlight w:val="none"/>
                <w:u w:val="none"/>
                <w:lang w:val="en-US" w:eastAsia="zh-CN"/>
              </w:rPr>
              <w:t>、</w:t>
            </w:r>
            <w:r>
              <w:rPr>
                <w:rFonts w:hint="eastAsia" w:ascii="宋体" w:hAnsi="宋体" w:cs="宋体"/>
                <w:i w:val="0"/>
                <w:iCs w:val="0"/>
                <w:color w:val="auto"/>
                <w:sz w:val="16"/>
                <w:szCs w:val="16"/>
                <w:highlight w:val="none"/>
                <w:u w:val="none"/>
                <w:lang w:val="en-US" w:eastAsia="zh-CN"/>
              </w:rPr>
              <w:t>发展改革委、</w:t>
            </w:r>
            <w:r>
              <w:rPr>
                <w:rFonts w:hint="eastAsia" w:ascii="宋体" w:hAnsi="宋体" w:eastAsia="宋体" w:cs="宋体"/>
                <w:i w:val="0"/>
                <w:iCs w:val="0"/>
                <w:color w:val="auto"/>
                <w:sz w:val="16"/>
                <w:szCs w:val="16"/>
                <w:highlight w:val="none"/>
                <w:u w:val="none"/>
                <w:lang w:val="en-US" w:eastAsia="zh-CN"/>
              </w:rPr>
              <w:t>教育局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支持企业与高校、科研院所合作共建重点实验室、工程技术研究中心</w:t>
            </w:r>
            <w:r>
              <w:rPr>
                <w:rFonts w:hint="default" w:ascii="宋体" w:hAnsi="宋体" w:eastAsia="宋体" w:cs="宋体"/>
                <w:i w:val="0"/>
                <w:iCs w:val="0"/>
                <w:color w:val="auto"/>
                <w:sz w:val="16"/>
                <w:szCs w:val="16"/>
                <w:highlight w:val="none"/>
                <w:u w:val="none"/>
                <w:lang w:val="en-US" w:eastAsia="zh-CN"/>
              </w:rPr>
              <w:t>，聚焦关键共性技术开展协同攻关。</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2.组织申报辅导，力争在此阶段成功培育1-2个</w:t>
            </w:r>
            <w:r>
              <w:rPr>
                <w:rFonts w:hint="eastAsia" w:ascii="宋体" w:hAnsi="宋体" w:eastAsia="宋体" w:cs="宋体"/>
                <w:i w:val="0"/>
                <w:iCs w:val="0"/>
                <w:color w:val="auto"/>
                <w:sz w:val="16"/>
                <w:szCs w:val="16"/>
                <w:highlight w:val="none"/>
                <w:u w:val="none"/>
                <w:lang w:val="en-US" w:eastAsia="zh-CN"/>
              </w:rPr>
              <w:t>重点实验室等</w:t>
            </w:r>
            <w:r>
              <w:rPr>
                <w:rFonts w:hint="default" w:ascii="宋体" w:hAnsi="宋体" w:eastAsia="宋体" w:cs="宋体"/>
                <w:i w:val="0"/>
                <w:iCs w:val="0"/>
                <w:color w:val="auto"/>
                <w:sz w:val="16"/>
                <w:szCs w:val="16"/>
                <w:highlight w:val="none"/>
                <w:u w:val="none"/>
                <w:lang w:val="en-US" w:eastAsia="zh-CN"/>
              </w:rPr>
              <w:t>研究中心等研发平台</w:t>
            </w:r>
            <w:r>
              <w:rPr>
                <w:rFonts w:hint="eastAsia" w:ascii="宋体" w:hAnsi="宋体" w:eastAsia="宋体" w:cs="宋体"/>
                <w:i w:val="0"/>
                <w:iCs w:val="0"/>
                <w:color w:val="auto"/>
                <w:sz w:val="16"/>
                <w:szCs w:val="16"/>
                <w:highlight w:val="none"/>
                <w:u w:val="none"/>
                <w:lang w:val="en-US" w:eastAsia="zh-CN"/>
              </w:rPr>
              <w:t>，集中开展关键核心技术攻关与成果产业化。</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3.扎实推进培育期调研与预研。通过1年左右的系统性、前瞻性调研与论证，完成“极冷资源国家重大科技基础设施”的顶层设计与建设蓝图论证。</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4.</w:t>
            </w:r>
            <w:r>
              <w:rPr>
                <w:rFonts w:hint="eastAsia" w:ascii="宋体" w:hAnsi="宋体" w:eastAsia="宋体" w:cs="宋体"/>
                <w:i w:val="0"/>
                <w:iCs w:val="0"/>
                <w:color w:val="auto"/>
                <w:sz w:val="16"/>
                <w:szCs w:val="16"/>
                <w:highlight w:val="none"/>
                <w:u w:val="none"/>
                <w:lang w:val="en-US" w:eastAsia="zh-CN"/>
              </w:rPr>
              <w:t>推进测试场地与配套设施建设，搭建车企对接平台，夯实项目落户基础与服务能力。</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default" w:ascii="宋体" w:hAnsi="宋体" w:eastAsia="宋体" w:cs="宋体"/>
                <w:i w:val="0"/>
                <w:iCs w:val="0"/>
                <w:color w:val="auto"/>
                <w:sz w:val="16"/>
                <w:szCs w:val="16"/>
                <w:highlight w:val="none"/>
                <w:u w:val="none"/>
                <w:lang w:val="en-US" w:eastAsia="zh-CN"/>
              </w:rPr>
            </w:pP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深化已建平台的运行机制，推动其从基础研究向中试验证、成果转化、行业服务等功能拓展，持续扩大高水平研发平台规模，力争在本阶段新增2-3个研发平台认定，累计总量达到4-5个以上。</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高效推进申报与初期建设，按照大科学装置建设规律，分阶段推进设施建设与系统集成。</w:t>
            </w:r>
          </w:p>
          <w:p>
            <w:pPr>
              <w:keepNext w:val="0"/>
              <w:keepLines w:val="0"/>
              <w:pageBreakBefore w:val="0"/>
              <w:widowControl/>
              <w:suppressLineNumbers w:val="0"/>
              <w:kinsoku/>
              <w:wordWrap/>
              <w:overflowPunct/>
              <w:topLinePunct w:val="0"/>
              <w:autoSpaceDE/>
              <w:autoSpaceDN/>
              <w:bidi w:val="0"/>
              <w:adjustRightInd/>
              <w:snapToGrid/>
              <w:spacing w:line="220" w:lineRule="exact"/>
              <w:jc w:val="left"/>
              <w:textAlignment w:val="center"/>
              <w:rPr>
                <w:rFonts w:hint="default" w:ascii="宋体" w:hAnsi="宋体" w:eastAsia="宋体" w:cs="宋体"/>
                <w:b/>
                <w:bCs/>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3.拓展测试场景，持续吸引优质高寒整车测试项目落户，集聚头部资源形成产业集群，制定行业标准，打造全国领先的高寒测试产业生态基地。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157"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3</w:t>
            </w:r>
            <w:r>
              <w:rPr>
                <w:rFonts w:hint="eastAsia" w:ascii="宋体" w:hAnsi="宋体" w:cs="宋体"/>
                <w:i w:val="0"/>
                <w:iCs w:val="0"/>
                <w:color w:val="auto"/>
                <w:sz w:val="16"/>
                <w:szCs w:val="16"/>
                <w:highlight w:val="none"/>
                <w:u w:val="none"/>
                <w:lang w:val="en-US" w:eastAsia="zh-CN"/>
              </w:rPr>
              <w:t>3</w:t>
            </w:r>
            <w:r>
              <w:rPr>
                <w:rFonts w:hint="eastAsia" w:ascii="宋体" w:hAnsi="宋体" w:eastAsia="宋体" w:cs="宋体"/>
                <w:i w:val="0"/>
                <w:iCs w:val="0"/>
                <w:color w:val="auto"/>
                <w:sz w:val="16"/>
                <w:szCs w:val="16"/>
                <w:highlight w:val="none"/>
                <w:u w:val="none"/>
                <w:lang w:val="en-US" w:eastAsia="zh-CN"/>
              </w:rPr>
              <w:t>.深化产业数字化转型与智能化升级。</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瞄准未来产业发展，加快工业互联网、智慧园区等数字平台建设，推动企业生产、管理等数据互联互通；持续深化“两化融合”，推广人工智能、智能装备等新技术应用，推动企业数字化、智能化改造；实施“人工智能＋”行动，梯度培育智能工厂，以数字经济赋能装备制造、能源、化工等传统产业转型升级。扩大电动无人矿卡工业应用场景，支持华能伊敏提升电动矿卡使用规模，鼓励国能宝日希勒、中国黄金内蒙古矿业开展试验应用。谋划发展大数据存储产业、大数据加工处理产业，推动工业领域专题数据库建设，赋能产业发展。</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市政数局</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发展改革委、能源局、商务局，各旗市区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right="0" w:right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default" w:ascii="宋体" w:hAnsi="宋体" w:eastAsia="宋体" w:cs="宋体"/>
                <w:i w:val="0"/>
                <w:iCs w:val="0"/>
                <w:color w:val="auto"/>
                <w:sz w:val="16"/>
                <w:szCs w:val="16"/>
                <w:highlight w:val="none"/>
                <w:u w:val="none"/>
                <w:lang w:val="en-US" w:eastAsia="zh-CN"/>
              </w:rPr>
              <w:t>以项目为抓手，推动东北阜丰谷氨酸钠生产链条数字化改造等数字化项目；开展“两化融合”评估诊断和对标工作，做好培训、宣贯工作，引导企业在研发、生产、管理等环节应用工业互联网、人工智能等技术，深入推动无人矿卡等5G+工业互联网应用；积极指导企业申报各类数字化项目，助推企业数字化转型。</w:t>
            </w:r>
            <w:r>
              <w:rPr>
                <w:rFonts w:hint="eastAsia" w:ascii="宋体" w:hAnsi="宋体" w:eastAsia="宋体" w:cs="宋体"/>
                <w:i w:val="0"/>
                <w:iCs w:val="0"/>
                <w:color w:val="auto"/>
                <w:sz w:val="16"/>
                <w:szCs w:val="16"/>
                <w:highlight w:val="none"/>
                <w:u w:val="none"/>
                <w:lang w:val="en-US" w:eastAsia="zh-CN"/>
              </w:rPr>
              <w:t>探索谋划大数据相关产业发展路径，依托一体化政务大数据平台，开展数据库需求收集、搭建等工作。</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right="0" w:rightChars="0"/>
              <w:jc w:val="left"/>
              <w:textAlignment w:val="center"/>
              <w:rPr>
                <w:rFonts w:hint="default"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2.</w:t>
            </w:r>
            <w:r>
              <w:rPr>
                <w:rFonts w:hint="default" w:ascii="宋体" w:hAnsi="宋体" w:eastAsia="宋体" w:cs="宋体"/>
                <w:i w:val="0"/>
                <w:iCs w:val="0"/>
                <w:color w:val="auto"/>
                <w:sz w:val="16"/>
                <w:szCs w:val="16"/>
                <w:highlight w:val="none"/>
                <w:u w:val="none"/>
                <w:lang w:val="en-US" w:eastAsia="zh-CN"/>
              </w:rPr>
              <w:t>开展重点行业智能化水平摸底诊断，评估企业数字化基础、瓶颈及转型需求，建立“智能工厂培育企业储备库”，积极争取有关扶持资金，组织开展智能工厂审核工作，力争认定基础级智能工厂30家以上，先进级智能工厂2-3家，形成初步示范效应。</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推动驰宏矿业等企业构建深度融合工业互联网、大数据、人工智能、5G等前沿技术构建的全流程自动化生产线与综合集成信息管控平台，实现生产全要素数据联通及监测、设备实时自主联动、智能分析、关键流程自动化等功能。依据两化融合管理体系、数字化转型水平测评指标体系，引导企业开展数字化改造或贯标，助力各产业转型升级。持续谋划大数据相关产业发展</w:t>
            </w:r>
            <w:r>
              <w:rPr>
                <w:rFonts w:hint="eastAsia" w:ascii="宋体" w:hAnsi="宋体" w:cs="宋体"/>
                <w:i w:val="0"/>
                <w:iCs w:val="0"/>
                <w:color w:val="auto"/>
                <w:sz w:val="16"/>
                <w:szCs w:val="16"/>
                <w:highlight w:val="none"/>
                <w:u w:val="none"/>
                <w:lang w:val="en-US" w:eastAsia="zh-CN"/>
              </w:rPr>
              <w:t>，完善数据库内容。</w:t>
            </w:r>
          </w:p>
          <w:p>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eastAsia" w:ascii="宋体" w:hAnsi="宋体" w:eastAsia="宋体" w:cs="宋体"/>
                <w:i w:val="0"/>
                <w:iCs w:val="0"/>
                <w:color w:val="auto"/>
                <w:sz w:val="16"/>
                <w:szCs w:val="16"/>
                <w:highlight w:val="none"/>
                <w:u w:val="none"/>
                <w:shd w:val="clear"/>
                <w:lang w:val="en-US" w:eastAsia="zh-CN"/>
              </w:rPr>
              <w:t>2.在总结经验基础上，支持已建成的基础级智能工厂向网络化协同、智能化决策的先进级迈进，鼓励先进级智能工厂探索人工智能+深度融合等新模式。累计认定基础级智能工厂50家以上，先进级智能工厂5家以上，并推动整体质量提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5"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三、保障措施</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（一）组织保障​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34</w:t>
            </w:r>
            <w:r>
              <w:rPr>
                <w:rFonts w:hint="eastAsia" w:ascii="宋体" w:hAnsi="宋体" w:eastAsia="宋体" w:cs="宋体"/>
                <w:i w:val="0"/>
                <w:iCs w:val="0"/>
                <w:color w:val="auto"/>
                <w:sz w:val="16"/>
                <w:szCs w:val="16"/>
                <w:highlight w:val="none"/>
                <w:u w:val="none"/>
                <w:lang w:val="en-US" w:eastAsia="zh-CN"/>
              </w:rPr>
              <w:t>.健全统筹协调机制。</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高位组织推进工业经济高质量发展领域重大事项决策、跨部门协同联动及重点项目全生命周期调度工作，建立“上下联动、左右协同、权责清晰、运转高效”的工作推进体系，专题研判工业经济运行态势、协调解决堵点难点问题，确保《实施方案》落实落地，凝聚工业经济高质量发展工作合力。</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市委办公室、</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市政府办公室</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市发展改革委、工信局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建立重大事项决策、跨部门协调及重点项目调度工作机制，搭建“上下联动、左右协同”沟通平台；确保领导小组常态化运转，高效推进初期重点任务落地。</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统筹协调机制成熟高效，“上下联动、左右协同”体系全面成型；重大决策科学精准，跨部门协作与项目调度闭环运转；能够快速破解工业发展堵点难点问题，为工业经济高质量发展提供坚强组织保障。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48"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35</w:t>
            </w:r>
            <w:r>
              <w:rPr>
                <w:rFonts w:hint="eastAsia" w:ascii="宋体" w:hAnsi="宋体" w:eastAsia="宋体" w:cs="宋体"/>
                <w:i w:val="0"/>
                <w:iCs w:val="0"/>
                <w:color w:val="auto"/>
                <w:sz w:val="16"/>
                <w:szCs w:val="16"/>
                <w:highlight w:val="none"/>
                <w:u w:val="none"/>
                <w:lang w:val="en-US" w:eastAsia="zh-CN"/>
              </w:rPr>
              <w:t>.完善督导督办机制。</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将推进工业经济高质量发展工作纳入年度绩效考核指标体系。考核评价部门将各项目标任务合理分解到各旗市区和相关部门，制定量化评价细则，定期对加快推进工业经济高质量发展工作成效进行评估，及时反馈问题，动态优化调整。结合厅级领导包联旗市区、市委常态化大督查以及《市委要情》等督导督办机制。开展“月调度、季通报、年总结”工作实绩问效，确保各项任务落地见效。</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市委办公室</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市人民政府办公室、市委组织部</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整合厅级领导包联、常态化大督查等督导资源，建立“月调度、季通报、年总结”工作机制，明确问效指标与责任分工；依托《市委要情》强化督办落实，实现重点任务督导全覆盖，推动各项工作有序推进。</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形成制度化、常态化督导问效体系，优化“月调度-季通报-年总结”闭环机制</w:t>
            </w:r>
            <w:r>
              <w:rPr>
                <w:rFonts w:hint="eastAsia" w:ascii="宋体" w:hAnsi="宋体" w:cs="宋体"/>
                <w:i w:val="0"/>
                <w:iCs w:val="0"/>
                <w:color w:val="auto"/>
                <w:sz w:val="16"/>
                <w:szCs w:val="16"/>
                <w:highlight w:val="none"/>
                <w:u w:val="none"/>
                <w:lang w:val="en-US" w:eastAsia="zh-CN"/>
              </w:rPr>
              <w:t>，把</w:t>
            </w:r>
            <w:r>
              <w:rPr>
                <w:rFonts w:hint="default" w:ascii="宋体" w:hAnsi="宋体" w:eastAsia="宋体" w:cs="宋体"/>
                <w:i w:val="0"/>
                <w:iCs w:val="0"/>
                <w:color w:val="auto"/>
                <w:sz w:val="16"/>
                <w:szCs w:val="16"/>
                <w:highlight w:val="none"/>
                <w:u w:val="none"/>
                <w:lang w:val="en-US" w:eastAsia="zh-CN"/>
              </w:rPr>
              <w:t>督查结果与考核评价深度挂钩；强化督导精准性与实效性，及时破解任务推进堵点，确保各项工业发展任务全面落地见效。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3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（二）要素保障​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36.用地要素保障。</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优化国土空间规划布局，严守政策底线，重点保障新能源基地等项目用地需求，推行“区域评估+标准地”模式，促进土地节约集约。</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市自然资源局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市工信局、能源局，各旗市区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科学开展国土空间总体规划动态调整完善，尽力保障</w:t>
            </w:r>
            <w:r>
              <w:rPr>
                <w:rFonts w:hint="eastAsia" w:ascii="宋体" w:hAnsi="宋体" w:eastAsia="宋体" w:cs="宋体"/>
                <w:i w:val="0"/>
                <w:iCs w:val="0"/>
                <w:color w:val="auto"/>
                <w:sz w:val="16"/>
                <w:szCs w:val="16"/>
                <w:highlight w:val="none"/>
                <w:u w:val="none"/>
                <w:lang w:val="en-US" w:eastAsia="zh-CN"/>
              </w:rPr>
              <w:t>新能源基地</w:t>
            </w:r>
            <w:r>
              <w:rPr>
                <w:rFonts w:hint="eastAsia" w:ascii="宋体" w:hAnsi="宋体" w:cs="宋体"/>
                <w:i w:val="0"/>
                <w:iCs w:val="0"/>
                <w:color w:val="auto"/>
                <w:sz w:val="16"/>
                <w:szCs w:val="16"/>
                <w:highlight w:val="none"/>
                <w:u w:val="none"/>
                <w:lang w:val="en-US" w:eastAsia="zh-CN"/>
              </w:rPr>
              <w:t>用地需求。</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kern w:val="0"/>
                <w:sz w:val="16"/>
                <w:szCs w:val="16"/>
                <w:highlight w:val="none"/>
                <w:u w:val="none"/>
                <w:lang w:val="en-US" w:eastAsia="zh-CN"/>
              </w:rPr>
              <w:t>及时开展国土空间规划城市体检，及时更新规划建设用地需求。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58"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37.</w:t>
            </w:r>
            <w:r>
              <w:rPr>
                <w:rFonts w:hint="eastAsia" w:ascii="宋体" w:hAnsi="宋体" w:eastAsia="宋体" w:cs="宋体"/>
                <w:i w:val="0"/>
                <w:iCs w:val="0"/>
                <w:color w:val="auto"/>
                <w:sz w:val="16"/>
                <w:szCs w:val="16"/>
                <w:highlight w:val="none"/>
                <w:u w:val="none"/>
                <w:lang w:val="en-US" w:eastAsia="zh-CN"/>
              </w:rPr>
              <w:t>用能要素保障。</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建立工业用能优先保障机制，重点向高新技术产业、绿色制造、绿电绿氢等项目倾斜；统筹能耗指标动态调配，建立要素保障预警机制，及时解决项目用能缺口。</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sz w:val="16"/>
                <w:szCs w:val="16"/>
                <w:highlight w:val="none"/>
                <w:u w:val="none"/>
                <w:lang w:val="en-US" w:eastAsia="zh-CN"/>
              </w:rPr>
              <w:t>能源局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工业用能优先保障实施细则，明确高新技术、绿色制造等重点领域用能倾斜标准；启动能耗指标动态调配机制，搭建要素保障预警平台；精准对接重点项目用能需求，及时响应并化解初期用能缺口，夯实用能保障基础。</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形成高效协同的工业用能保障体系，重点领域用能倾斜政策精准落地；能耗指标动态调配与预警机制常态化运转，用能缺口快速处置能力显著提升；用能保障与产业升级深度适配，为绿电绿氢等项目规模化发展提供稳定支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34"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rPr>
                <w:rFonts w:hint="eastAsia" w:ascii="宋体" w:hAnsi="宋体" w:eastAsia="宋体" w:cs="宋体"/>
                <w:i w:val="0"/>
                <w:iCs w:val="0"/>
                <w:color w:val="auto"/>
                <w:sz w:val="16"/>
                <w:szCs w:val="16"/>
                <w:highlight w:val="none"/>
                <w:u w:val="none"/>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38.</w:t>
            </w:r>
            <w:r>
              <w:rPr>
                <w:rFonts w:hint="eastAsia" w:ascii="宋体" w:hAnsi="宋体" w:eastAsia="宋体" w:cs="宋体"/>
                <w:i w:val="0"/>
                <w:iCs w:val="0"/>
                <w:color w:val="auto"/>
                <w:sz w:val="16"/>
                <w:szCs w:val="16"/>
                <w:highlight w:val="none"/>
                <w:u w:val="none"/>
                <w:lang w:val="en-US" w:eastAsia="zh-CN"/>
              </w:rPr>
              <w:t>资源交通支撑。</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统筹水、环境容量等要素指标，实行“要素跟着项目走、保障围着需求转”机制，强化部门协同联动，精准对接项目要素需求。严格落实生态环境分区管控要求，依法依规开展建设项目环境影响评价。推进滨洲铁路齐海满段开行动车组、阿尔山至海拉尔铁路开行动车组等项目，完善8个国家级口岸“一轴两翼”开放体系，构建公铁联运绿色物流网络。</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市水利局</w:t>
            </w:r>
            <w:r>
              <w:rPr>
                <w:rFonts w:hint="eastAsia" w:ascii="宋体" w:hAnsi="宋体" w:cs="宋体"/>
                <w:i w:val="0"/>
                <w:iCs w:val="0"/>
                <w:color w:val="auto"/>
                <w:sz w:val="16"/>
                <w:szCs w:val="16"/>
                <w:highlight w:val="none"/>
                <w:u w:val="none"/>
                <w:lang w:val="en-US" w:eastAsia="zh-CN"/>
              </w:rPr>
              <w:t>、生态环境局、交通局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市商务局、相关口岸海关</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建立要素保障精准对接机制，统筹水、环境容量等指标向重点项目倾斜；</w:t>
            </w:r>
            <w:r>
              <w:rPr>
                <w:rFonts w:hint="eastAsia" w:ascii="宋体" w:hAnsi="宋体" w:eastAsia="宋体" w:cs="宋体"/>
                <w:i w:val="0"/>
                <w:iCs w:val="0"/>
                <w:color w:val="auto"/>
                <w:sz w:val="16"/>
                <w:szCs w:val="16"/>
                <w:highlight w:val="none"/>
                <w:u w:val="none"/>
                <w:lang w:val="en-US" w:eastAsia="zh-CN"/>
              </w:rPr>
              <w:t>争取将</w:t>
            </w:r>
            <w:r>
              <w:rPr>
                <w:rFonts w:hint="default" w:ascii="宋体" w:hAnsi="宋体" w:eastAsia="宋体" w:cs="宋体"/>
                <w:i w:val="0"/>
                <w:iCs w:val="0"/>
                <w:color w:val="auto"/>
                <w:sz w:val="16"/>
                <w:szCs w:val="16"/>
                <w:highlight w:val="none"/>
                <w:u w:val="none"/>
                <w:lang w:val="en-US" w:eastAsia="zh-CN"/>
              </w:rPr>
              <w:t>滨洲铁路齐海满段开行动车组、阿尔山至海拉尔铁路开行动车组等项目纳入《自治区“十五五”铁路发展规划》《国家“十五五”铁路发展规划》，同步开展项目各项前期工作</w:t>
            </w:r>
            <w:r>
              <w:rPr>
                <w:rFonts w:hint="eastAsia" w:ascii="宋体" w:hAnsi="宋体" w:cs="宋体"/>
                <w:i w:val="0"/>
                <w:iCs w:val="0"/>
                <w:color w:val="auto"/>
                <w:sz w:val="16"/>
                <w:szCs w:val="16"/>
                <w:highlight w:val="none"/>
                <w:u w:val="none"/>
                <w:lang w:val="en-US" w:eastAsia="zh-CN"/>
              </w:rPr>
              <w:t>，</w:t>
            </w:r>
            <w:r>
              <w:rPr>
                <w:rFonts w:hint="default" w:ascii="宋体" w:hAnsi="宋体" w:eastAsia="宋体" w:cs="宋体"/>
                <w:i w:val="0"/>
                <w:iCs w:val="0"/>
                <w:color w:val="auto"/>
                <w:sz w:val="16"/>
                <w:szCs w:val="16"/>
                <w:highlight w:val="none"/>
                <w:u w:val="none"/>
                <w:lang w:val="en-US" w:eastAsia="zh-CN"/>
              </w:rPr>
              <w:t>初步构建公铁联运物流框架。</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要素跟着项目走机制</w:t>
            </w:r>
            <w:r>
              <w:rPr>
                <w:rFonts w:hint="eastAsia" w:ascii="宋体" w:hAnsi="宋体" w:eastAsia="宋体" w:cs="宋体"/>
                <w:i w:val="0"/>
                <w:iCs w:val="0"/>
                <w:color w:val="auto"/>
                <w:sz w:val="16"/>
                <w:szCs w:val="16"/>
                <w:highlight w:val="none"/>
                <w:u w:val="none"/>
                <w:lang w:val="en-US" w:eastAsia="zh-CN"/>
              </w:rPr>
              <w:t>实现</w:t>
            </w:r>
            <w:r>
              <w:rPr>
                <w:rFonts w:hint="default" w:ascii="宋体" w:hAnsi="宋体" w:eastAsia="宋体" w:cs="宋体"/>
                <w:i w:val="0"/>
                <w:iCs w:val="0"/>
                <w:color w:val="auto"/>
                <w:sz w:val="16"/>
                <w:szCs w:val="16"/>
                <w:highlight w:val="none"/>
                <w:u w:val="none"/>
                <w:lang w:val="en-US" w:eastAsia="zh-CN"/>
              </w:rPr>
              <w:t>高效运转，生态管控与项目需求精准匹配；</w:t>
            </w:r>
            <w:r>
              <w:rPr>
                <w:rFonts w:hint="eastAsia" w:ascii="宋体" w:hAnsi="宋体" w:eastAsia="宋体" w:cs="宋体"/>
                <w:i w:val="0"/>
                <w:iCs w:val="0"/>
                <w:color w:val="auto"/>
                <w:sz w:val="16"/>
                <w:szCs w:val="16"/>
                <w:highlight w:val="none"/>
                <w:u w:val="none"/>
                <w:lang w:val="en-US" w:eastAsia="zh-CN"/>
              </w:rPr>
              <w:t>加速推进滨洲铁路齐海满段开行动车组、阿尔山至海拉尔铁路开行动车组等项目前期工作，力争项目早日开工建设</w:t>
            </w:r>
            <w:r>
              <w:rPr>
                <w:rFonts w:hint="eastAsia" w:ascii="宋体" w:hAnsi="宋体" w:cs="宋体"/>
                <w:i w:val="0"/>
                <w:iCs w:val="0"/>
                <w:color w:val="auto"/>
                <w:sz w:val="16"/>
                <w:szCs w:val="16"/>
                <w:highlight w:val="none"/>
                <w:u w:val="none"/>
                <w:lang w:val="en-US" w:eastAsia="zh-CN"/>
              </w:rPr>
              <w:t>，</w:t>
            </w:r>
            <w:r>
              <w:rPr>
                <w:rFonts w:hint="default" w:ascii="宋体" w:hAnsi="宋体" w:eastAsia="宋体" w:cs="宋体"/>
                <w:i w:val="0"/>
                <w:iCs w:val="0"/>
                <w:color w:val="auto"/>
                <w:sz w:val="16"/>
                <w:szCs w:val="16"/>
                <w:highlight w:val="none"/>
                <w:u w:val="none"/>
                <w:lang w:val="en-US" w:eastAsia="zh-CN"/>
              </w:rPr>
              <w:t>口岸开放体系完善落地，建成一体化公铁联运绿色物流网络；实现要素保障、生态准入、基础设施协同赋能工业高质量发展。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988"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三、保障措施</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（三）资金保障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39.强化上级资金争跑。</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聚焦能源、制造业、工业园区基础设施等重点领域，围绕传统产业升级、新兴产业培育、未来产业谋划、重大工业项目建设等方向，全力争取中央预算内投资、专项债券、产业发展基金及自治区各专项资金支持。</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市发展改革委</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工信局、能源局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市财政局</w:t>
            </w:r>
            <w:r>
              <w:rPr>
                <w:rFonts w:hint="eastAsia" w:ascii="宋体" w:hAnsi="宋体" w:cs="宋体"/>
                <w:i w:val="0"/>
                <w:iCs w:val="0"/>
                <w:color w:val="auto"/>
                <w:sz w:val="16"/>
                <w:szCs w:val="16"/>
                <w:highlight w:val="none"/>
                <w:u w:val="none"/>
                <w:lang w:val="en-US" w:eastAsia="zh-CN"/>
              </w:rPr>
              <w:t>，经开区、各旗市区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梳理能源、制造业等领域重点项目库；常态化对接中央预算内投资、专项债券等支持渠道，精准申报符合条件的项目；</w:t>
            </w:r>
            <w:r>
              <w:rPr>
                <w:rFonts w:hint="eastAsia" w:ascii="宋体" w:hAnsi="宋体" w:cs="宋体"/>
                <w:i w:val="0"/>
                <w:iCs w:val="0"/>
                <w:color w:val="auto"/>
                <w:sz w:val="16"/>
                <w:szCs w:val="16"/>
                <w:highlight w:val="none"/>
                <w:u w:val="none"/>
                <w:lang w:val="en-US" w:eastAsia="zh-CN"/>
              </w:rPr>
              <w:t>探索建立工业园区基础设施补短板资金支持</w:t>
            </w:r>
            <w:r>
              <w:rPr>
                <w:rFonts w:hint="default" w:ascii="宋体" w:hAnsi="宋体" w:eastAsia="宋体" w:cs="宋体"/>
                <w:i w:val="0"/>
                <w:iCs w:val="0"/>
                <w:color w:val="auto"/>
                <w:sz w:val="16"/>
                <w:szCs w:val="16"/>
                <w:highlight w:val="none"/>
                <w:u w:val="none"/>
                <w:lang w:val="en-US" w:eastAsia="zh-CN"/>
              </w:rPr>
              <w:t>；力争争取上级资金规模逐年递增，为重大工业项目启动提供资金支撑。</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完善争跑常态化协同体系，动态优化重点项目储备库，实现与上级资金政策精准匹配；扩大产业发展基金、自治区专项资金争取覆盖面，资金争取规模稳步提升；有力支撑传统产业升级、新兴产业培育及重大项目落地，强化资金赋能实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42"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40.</w:t>
            </w:r>
            <w:r>
              <w:rPr>
                <w:rFonts w:hint="eastAsia" w:ascii="宋体" w:hAnsi="宋体" w:eastAsia="宋体" w:cs="宋体"/>
                <w:i w:val="0"/>
                <w:iCs w:val="0"/>
                <w:color w:val="auto"/>
                <w:sz w:val="16"/>
                <w:szCs w:val="16"/>
                <w:highlight w:val="none"/>
                <w:u w:val="none"/>
                <w:lang w:val="en-US" w:eastAsia="zh-CN"/>
              </w:rPr>
              <w:t>发挥市本级财政投入的撬动作用。</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十五五”时期，以每年6000万元支持引导资金为“支点”，通过精准对接上级资金注入政策动力，撬动社会资本形成多元投入，精准投向工业园区配套设施建设、科技创新建设、产业转型升级、绿色低碳发展、产业发展研究等领域，对事关全局的重点工作、重大项目安排一事一议，推动资金效益最大化，切实起到“集中力量办大事”作用。2026年，重点支持经开区关键基础设施建设，撬动实施基础设施类项目4个，当年投资2.75亿元，推动建设产业类项目9个，当年投资1.58亿元。2027-2030年撬动市属其他园区实施基础设施项目24个，总投资22.3亿元，引导带动产业类项目23个，总投资93.75亿元。</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市财政局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市工信局</w:t>
            </w:r>
            <w:r>
              <w:rPr>
                <w:rFonts w:hint="eastAsia" w:ascii="宋体" w:hAnsi="宋体" w:cs="宋体"/>
                <w:i w:val="0"/>
                <w:iCs w:val="0"/>
                <w:color w:val="auto"/>
                <w:sz w:val="16"/>
                <w:szCs w:val="16"/>
                <w:highlight w:val="none"/>
                <w:u w:val="none"/>
                <w:lang w:val="en-US" w:eastAsia="zh-CN"/>
              </w:rPr>
              <w:t>，经开区，相关旗市区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落实市本级每年6000万元工业发展资金预算，明确五类支持事项资金分配细则；启动</w:t>
            </w:r>
            <w:r>
              <w:rPr>
                <w:rFonts w:hint="eastAsia" w:ascii="宋体" w:hAnsi="宋体" w:cs="宋体"/>
                <w:i w:val="0"/>
                <w:iCs w:val="0"/>
                <w:color w:val="auto"/>
                <w:sz w:val="16"/>
                <w:szCs w:val="16"/>
                <w:highlight w:val="none"/>
                <w:u w:val="none"/>
                <w:lang w:val="en-US" w:eastAsia="zh-CN"/>
              </w:rPr>
              <w:t>园区</w:t>
            </w:r>
            <w:r>
              <w:rPr>
                <w:rFonts w:hint="default" w:ascii="宋体" w:hAnsi="宋体" w:eastAsia="宋体" w:cs="宋体"/>
                <w:i w:val="0"/>
                <w:iCs w:val="0"/>
                <w:color w:val="auto"/>
                <w:sz w:val="16"/>
                <w:szCs w:val="16"/>
                <w:highlight w:val="none"/>
                <w:u w:val="none"/>
                <w:lang w:val="en-US" w:eastAsia="zh-CN"/>
              </w:rPr>
              <w:t>基础设施补短板</w:t>
            </w:r>
            <w:r>
              <w:rPr>
                <w:rFonts w:hint="eastAsia" w:ascii="宋体" w:hAnsi="宋体" w:cs="宋体"/>
                <w:i w:val="0"/>
                <w:iCs w:val="0"/>
                <w:color w:val="auto"/>
                <w:sz w:val="16"/>
                <w:szCs w:val="16"/>
                <w:highlight w:val="none"/>
                <w:u w:val="none"/>
                <w:lang w:val="en-US" w:eastAsia="zh-CN"/>
              </w:rPr>
              <w:t>项目建设</w:t>
            </w:r>
            <w:r>
              <w:rPr>
                <w:rFonts w:hint="default" w:ascii="宋体" w:hAnsi="宋体" w:eastAsia="宋体" w:cs="宋体"/>
                <w:i w:val="0"/>
                <w:iCs w:val="0"/>
                <w:color w:val="auto"/>
                <w:sz w:val="16"/>
                <w:szCs w:val="16"/>
                <w:highlight w:val="none"/>
                <w:u w:val="none"/>
                <w:lang w:val="en-US" w:eastAsia="zh-CN"/>
              </w:rPr>
              <w:t>，支持产业基础能力提升和中小企业培育试点；完成“五业协同”规划编制前期研究，撬动首批智能化、绿色化技改项目落地。</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立资金精准投放与绩效评价长效机制，园区基础设施全面完善；形成优质中小企业梯度培育体系，产业转型技改项目规模化实施；绿色低碳发展支持政策落地见效，资金撬动产业协同发展、高质量升级的效应显著释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08"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1</w:t>
            </w:r>
            <w:r>
              <w:rPr>
                <w:rFonts w:hint="eastAsia" w:ascii="宋体" w:hAnsi="宋体" w:eastAsia="宋体" w:cs="宋体"/>
                <w:i w:val="0"/>
                <w:iCs w:val="0"/>
                <w:color w:val="auto"/>
                <w:sz w:val="16"/>
                <w:szCs w:val="16"/>
                <w:highlight w:val="none"/>
                <w:u w:val="none"/>
                <w:lang w:val="en-US" w:eastAsia="zh-CN"/>
              </w:rPr>
              <w:t>.金融服务赋能。</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立政银企对接常态化机制，促进金融资源高效配置。运用好金融工具，进一步促进社会贷款增长，引导金融机构加强对工业企业的信贷支持，缓解融资难、融资贵问题。鼓励金融机构创新发展供应链金融、知识产权质押融资等多元化金融产品，提升产业链韧性和企业创新能力，为实体经济注入活力，推动工业经济高质量发展。</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市财政局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w:t>
            </w:r>
            <w:r>
              <w:rPr>
                <w:rFonts w:hint="eastAsia" w:ascii="宋体" w:hAnsi="宋体" w:eastAsia="宋体" w:cs="宋体"/>
                <w:i w:val="0"/>
                <w:iCs w:val="0"/>
                <w:color w:val="auto"/>
                <w:sz w:val="16"/>
                <w:szCs w:val="16"/>
                <w:highlight w:val="none"/>
                <w:u w:val="none"/>
                <w:lang w:val="en-US" w:eastAsia="zh-CN"/>
              </w:rPr>
              <w:t>人民银行、金融监管分局</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建立政银企月度对接、季度会商常态化机制，梳理工业企业融资需求清单；引导金融机构优化信贷投向，试点供应链金融、知识产权质押融资产品；力争工业企业信贷投放增速高于全市贷款平均水平，初步缓解融资难题。</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形成高效协同的政银企对接体系，供应链金融、知识产权质押融资规模化推广；工业领域信贷支持覆盖面显著扩大，金融产品与企业需求精准匹配；构建多元化工业金融服务生态，为产业升级、项目落地提供稳定资金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28" w:hRule="atLeast"/>
          <w:jc w:val="center"/>
        </w:trPr>
        <w:tc>
          <w:tcPr>
            <w:tcW w:w="129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三、保障措施</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（四）招商引资保障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2</w:t>
            </w:r>
            <w:r>
              <w:rPr>
                <w:rFonts w:hint="eastAsia" w:ascii="宋体" w:hAnsi="宋体" w:eastAsia="宋体" w:cs="宋体"/>
                <w:i w:val="0"/>
                <w:iCs w:val="0"/>
                <w:color w:val="auto"/>
                <w:sz w:val="16"/>
                <w:szCs w:val="16"/>
                <w:highlight w:val="none"/>
                <w:u w:val="none"/>
                <w:lang w:val="en-US" w:eastAsia="zh-CN"/>
              </w:rPr>
              <w:t>.开展精准招商。</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落实重点领域招商专项组工作机制，运用“两图两表两库两分析”及“十五五”项目库，精准制定招商方案，梳理产业政策指南，锁定目标区域与企业，开展靶向对接与小分队上门招商。强化市旗联动、部门协同，打破行业与地区壁垒，强化信息共享与项目调度，及时破解项目对接难点，切实提高项目签约率与落地成功率。</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各产业链牵头单位</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市投促中心、</w:t>
            </w:r>
            <w:r>
              <w:rPr>
                <w:rFonts w:hint="eastAsia" w:ascii="宋体" w:hAnsi="宋体" w:cs="宋体"/>
                <w:i w:val="0"/>
                <w:iCs w:val="0"/>
                <w:color w:val="auto"/>
                <w:sz w:val="16"/>
                <w:szCs w:val="16"/>
                <w:highlight w:val="none"/>
                <w:u w:val="none"/>
                <w:lang w:val="en-US" w:eastAsia="zh-CN"/>
              </w:rPr>
              <w:t xml:space="preserve">    </w:t>
            </w:r>
            <w:r>
              <w:rPr>
                <w:rFonts w:hint="eastAsia" w:ascii="宋体" w:hAnsi="宋体" w:eastAsia="宋体" w:cs="宋体"/>
                <w:i w:val="0"/>
                <w:iCs w:val="0"/>
                <w:color w:val="auto"/>
                <w:sz w:val="16"/>
                <w:szCs w:val="16"/>
                <w:highlight w:val="none"/>
                <w:u w:val="none"/>
                <w:lang w:val="en-US" w:eastAsia="zh-CN"/>
              </w:rPr>
              <w:t>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全面落实重点领域招商专项组工作机制，完善“两图两表两库两分析”工具体系与“十五五”项目库建设，编制完成重点产业政策指南。聚焦京津冀、长三角等目标区域及龙头企业，开展靶向对接与小分队招商。健全市旗联动、部门协同机制，破除跨领域协作壁垒，实现招商信息共享与项目动态调度，确保重点招商项目签约率稳步提升。</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深化精准招商体系建设，优化产业数据库与政策指南体系，聚焦优质目标企业精准发力，强化跨区域跨部门深度协同，健全高效调度与难题破解机制，推动招商项目从“签约数量”向“落地质量”转变，力争重点产业项目落地成功率较筑基期显著提高，形成具有呼伦贝尔特色的产业集聚效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381" w:hRule="atLeast"/>
          <w:jc w:val="center"/>
        </w:trPr>
        <w:tc>
          <w:tcPr>
            <w:tcW w:w="129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3</w:t>
            </w:r>
            <w:r>
              <w:rPr>
                <w:rFonts w:hint="eastAsia" w:ascii="宋体" w:hAnsi="宋体" w:eastAsia="宋体" w:cs="宋体"/>
                <w:i w:val="0"/>
                <w:iCs w:val="0"/>
                <w:color w:val="auto"/>
                <w:sz w:val="16"/>
                <w:szCs w:val="16"/>
                <w:highlight w:val="none"/>
                <w:u w:val="none"/>
                <w:lang w:val="en-US" w:eastAsia="zh-CN"/>
              </w:rPr>
              <w:t>.创新招商模式。</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创新招商模式。打造“情系呼伦贝尔大草原恳谈会”招商品牌，建立以驻外联络处、异地商协会及在外呼伦贝尔籍人士为依托的召集机制，在重点节点城市定期开展推介、签约、展示活动。统筹建立并动态更新户籍人才库、投资项目库等资源库，协同各专项组形成“需求—资源”精准对接，构建内外联动的招商资源汇聚体系。</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各产业链牵头单位</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市投促中心、</w:t>
            </w:r>
            <w:r>
              <w:rPr>
                <w:rFonts w:hint="eastAsia" w:ascii="宋体" w:hAnsi="宋体" w:cs="宋体"/>
                <w:i w:val="0"/>
                <w:iCs w:val="0"/>
                <w:color w:val="auto"/>
                <w:sz w:val="16"/>
                <w:szCs w:val="16"/>
                <w:highlight w:val="none"/>
                <w:u w:val="none"/>
                <w:lang w:val="en-US" w:eastAsia="zh-CN"/>
              </w:rPr>
              <w:t xml:space="preserve">     </w:t>
            </w:r>
            <w:r>
              <w:rPr>
                <w:rFonts w:hint="eastAsia" w:ascii="宋体" w:hAnsi="宋体" w:eastAsia="宋体" w:cs="宋体"/>
                <w:i w:val="0"/>
                <w:iCs w:val="0"/>
                <w:color w:val="auto"/>
                <w:sz w:val="16"/>
                <w:szCs w:val="16"/>
                <w:highlight w:val="none"/>
                <w:u w:val="none"/>
                <w:lang w:val="en-US" w:eastAsia="zh-CN"/>
              </w:rPr>
              <w:t>各旗市区</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kern w:val="2"/>
                <w:sz w:val="16"/>
                <w:szCs w:val="16"/>
                <w:highlight w:val="none"/>
                <w:u w:val="none"/>
                <w:lang w:val="en-US" w:eastAsia="zh-CN" w:bidi="ar-SA"/>
              </w:rPr>
            </w:pPr>
            <w:r>
              <w:rPr>
                <w:rFonts w:hint="eastAsia" w:ascii="宋体" w:hAnsi="宋体" w:cs="宋体"/>
                <w:i w:val="0"/>
                <w:iCs w:val="0"/>
                <w:color w:val="auto"/>
                <w:sz w:val="16"/>
                <w:szCs w:val="16"/>
                <w:highlight w:val="none"/>
                <w:u w:val="none"/>
                <w:lang w:val="en-US" w:eastAsia="zh-CN"/>
              </w:rPr>
              <w:t>全面推动</w:t>
            </w:r>
            <w:r>
              <w:rPr>
                <w:rFonts w:hint="default" w:ascii="宋体" w:hAnsi="宋体" w:eastAsia="宋体" w:cs="宋体"/>
                <w:i w:val="0"/>
                <w:iCs w:val="0"/>
                <w:color w:val="auto"/>
                <w:sz w:val="16"/>
                <w:szCs w:val="16"/>
                <w:highlight w:val="none"/>
                <w:u w:val="none"/>
                <w:lang w:val="en-US" w:eastAsia="zh-CN"/>
              </w:rPr>
              <w:t>“情系呼伦贝尔大草原恳谈会”品牌建设，依托驻外联络处、异地商协会及在外乡贤建立召集机制，在重点节点城市举办推介、签约活动，初步建成户籍人才、投资项目等资源库，协同各专项组实现“需求—资源”初步精准对接，搭建内外联动招商基础框架。</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2"/>
                <w:sz w:val="16"/>
                <w:szCs w:val="16"/>
                <w:highlight w:val="none"/>
                <w:u w:val="none"/>
                <w:lang w:val="en-US" w:eastAsia="zh-CN" w:bidi="ar-SA"/>
              </w:rPr>
            </w:pPr>
            <w:r>
              <w:rPr>
                <w:rFonts w:hint="default" w:ascii="宋体" w:hAnsi="宋体" w:eastAsia="宋体" w:cs="宋体"/>
                <w:i w:val="0"/>
                <w:iCs w:val="0"/>
                <w:color w:val="auto"/>
                <w:sz w:val="16"/>
                <w:szCs w:val="16"/>
                <w:highlight w:val="none"/>
                <w:u w:val="none"/>
                <w:lang w:val="en-US" w:eastAsia="zh-CN"/>
              </w:rPr>
              <w:t>深化恳谈会招商品牌影响力，健全多元召集机制，拓展活动覆盖重点城市，动态优化资源库体系，强化各专项组深度协同，完善“需求—资源”精准对接闭环，构建覆盖广、效率高、可持续的内外联动招商资源汇聚长效机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31" w:hRule="atLeast"/>
          <w:jc w:val="center"/>
        </w:trPr>
        <w:tc>
          <w:tcPr>
            <w:tcW w:w="1296" w:type="dxa"/>
            <w:vMerge w:val="restart"/>
            <w:tcBorders>
              <w:top w:val="single" w:color="auto" w:sz="4" w:space="0"/>
              <w:left w:val="single" w:color="auto" w:sz="12"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三、保障措施</w:t>
            </w:r>
          </w:p>
        </w:tc>
        <w:tc>
          <w:tcPr>
            <w:tcW w:w="1022"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（五）安全生产保障​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4</w:t>
            </w:r>
            <w:r>
              <w:rPr>
                <w:rFonts w:hint="eastAsia" w:ascii="宋体" w:hAnsi="宋体" w:eastAsia="宋体" w:cs="宋体"/>
                <w:i w:val="0"/>
                <w:iCs w:val="0"/>
                <w:color w:val="auto"/>
                <w:sz w:val="16"/>
                <w:szCs w:val="16"/>
                <w:highlight w:val="none"/>
                <w:u w:val="none"/>
                <w:lang w:val="en-US" w:eastAsia="zh-CN"/>
              </w:rPr>
              <w:t>.严格履行监管责任。</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以权责清单为核心，推行“精准监管+优质服务”模式，由应急管理部门牵头整合多部门监管数据，优化应急管理信息系统，依据年度安全生产执法检查计划，强化联动执法与“行刑衔接”，设立安全信用激励机制，优质企业依规减少检查频次。定期开展法规培训和专家“上门问诊”。</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市应急管理局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各行业主管部门</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default"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完成并动态调整涉企监管权责清单，初步构建“精准监管+优质服务”模式框架。建成并试运行由应急管理部门牵头的多源数据整合平台，基本打通部门间信息壁垒，启动联动执法与“行刑衔接”试点，制定安全信用评价细则，初步建立安全信用激励机制，常态化开展法规培训与专家入企指导。</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widowControl/>
              <w:suppressLineNumbers w:val="0"/>
              <w:jc w:val="left"/>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全面深化“精准监管+优质服务”模式，实现应急管理信息系统智能化升级与高效应用。形成稳定成熟的多部门联动执法与“行刑衔接”工作机制，监管数据实时共享与风险预警能力显著增强，完善安全信用激励机制，实现优质企业差异化监管与激励措施全面落地，法规培训与专家服务实现精准覆盖，基本形成安全监管与营商环境协同共进格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293" w:hRule="atLeast"/>
          <w:jc w:val="center"/>
        </w:trPr>
        <w:tc>
          <w:tcPr>
            <w:tcW w:w="1296" w:type="dxa"/>
            <w:vMerge w:val="continue"/>
            <w:tcBorders>
              <w:left w:val="single" w:color="auto" w:sz="12"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45.</w:t>
            </w:r>
            <w:r>
              <w:rPr>
                <w:rFonts w:hint="eastAsia" w:ascii="宋体" w:hAnsi="宋体" w:eastAsia="宋体" w:cs="宋体"/>
                <w:i w:val="0"/>
                <w:iCs w:val="0"/>
                <w:color w:val="auto"/>
                <w:sz w:val="16"/>
                <w:szCs w:val="16"/>
                <w:highlight w:val="none"/>
                <w:u w:val="none"/>
                <w:lang w:val="en-US" w:eastAsia="zh-CN"/>
              </w:rPr>
              <w:t>发挥行管部门作用。</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将安全约束嵌入规划、政策、标准，严守项目审批红线，督促企业完善监测管控，每季度研判安全形势，每年至少组织一次企业主要负责人安全培训，持续健全协同机制。</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各行业主管部门</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推动将核心安全约束要求全面纳入市级相关规划、产业政策与地方标准，制定并严格执行项目准入负面清单与审批红线。督促重点行业企业建立完善安全风险监测管控制度，启动</w:t>
            </w:r>
            <w:r>
              <w:rPr>
                <w:rFonts w:hint="eastAsia" w:ascii="宋体" w:hAnsi="宋体" w:cs="宋体"/>
                <w:i w:val="0"/>
                <w:iCs w:val="0"/>
                <w:color w:val="auto"/>
                <w:sz w:val="16"/>
                <w:szCs w:val="16"/>
                <w:highlight w:val="none"/>
                <w:u w:val="none"/>
                <w:lang w:val="en-US" w:eastAsia="zh-CN"/>
              </w:rPr>
              <w:t>每季度</w:t>
            </w:r>
            <w:r>
              <w:rPr>
                <w:rFonts w:hint="eastAsia" w:ascii="宋体" w:hAnsi="宋体" w:eastAsia="宋体" w:cs="宋体"/>
                <w:i w:val="0"/>
                <w:iCs w:val="0"/>
                <w:color w:val="auto"/>
                <w:sz w:val="16"/>
                <w:szCs w:val="16"/>
                <w:highlight w:val="none"/>
                <w:u w:val="none"/>
                <w:lang w:val="en-US" w:eastAsia="zh-CN"/>
              </w:rPr>
              <w:t>形势研判机制与企业主要负责人安全培训，初步构建跨部门协同监管框架。</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实现安全约束在规划、政策、标准中的系统化、智能化嵌入与动态更新。项目审批红线监管机制高效运行，企业监测管控实现数字化、网络化覆盖。形成成熟稳定的风险定期研判、</w:t>
            </w:r>
            <w:r>
              <w:rPr>
                <w:rFonts w:hint="eastAsia" w:ascii="宋体" w:hAnsi="宋体" w:cs="宋体"/>
                <w:i w:val="0"/>
                <w:iCs w:val="0"/>
                <w:color w:val="auto"/>
                <w:sz w:val="16"/>
                <w:szCs w:val="16"/>
                <w:highlight w:val="none"/>
                <w:u w:val="none"/>
                <w:lang w:val="en-US" w:eastAsia="zh-CN"/>
              </w:rPr>
              <w:t>安全</w:t>
            </w:r>
            <w:r>
              <w:rPr>
                <w:rFonts w:hint="eastAsia" w:ascii="宋体" w:hAnsi="宋体" w:eastAsia="宋体" w:cs="宋体"/>
                <w:i w:val="0"/>
                <w:iCs w:val="0"/>
                <w:color w:val="auto"/>
                <w:sz w:val="16"/>
                <w:szCs w:val="16"/>
                <w:highlight w:val="none"/>
                <w:u w:val="none"/>
                <w:lang w:val="en-US" w:eastAsia="zh-CN"/>
              </w:rPr>
              <w:t>培训与高效协同机制，全市本质安全水平显著提升。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48" w:hRule="atLeast"/>
          <w:jc w:val="center"/>
        </w:trPr>
        <w:tc>
          <w:tcPr>
            <w:tcW w:w="1296" w:type="dxa"/>
            <w:vMerge w:val="continue"/>
            <w:tcBorders>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46.</w:t>
            </w:r>
            <w:r>
              <w:rPr>
                <w:rFonts w:hint="eastAsia" w:ascii="宋体" w:hAnsi="宋体" w:eastAsia="宋体" w:cs="宋体"/>
                <w:i w:val="0"/>
                <w:iCs w:val="0"/>
                <w:color w:val="auto"/>
                <w:sz w:val="16"/>
                <w:szCs w:val="16"/>
                <w:highlight w:val="none"/>
                <w:u w:val="none"/>
                <w:lang w:val="en-US" w:eastAsia="zh-CN"/>
              </w:rPr>
              <w:t>落实属地责任。</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每半年分析辖区安全形势，协调解决重点难点问题，建立重点问题台账销号制度，确保各项安全措施落地见效。</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各旗市区人民</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建立并严格执行辖区安全形势每半年分析研判机制，初步形成重点难点问题协调解决流程。构建重点问题台账销号制度，确保核心安全措施得到落实。</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深化安全形势分析的精准性与预警能力，形成高效协同的问题解决闭环。健全并严格</w:t>
            </w:r>
            <w:r>
              <w:rPr>
                <w:rFonts w:hint="eastAsia" w:ascii="宋体" w:hAnsi="宋体" w:cs="宋体"/>
                <w:i w:val="0"/>
                <w:iCs w:val="0"/>
                <w:color w:val="auto"/>
                <w:sz w:val="16"/>
                <w:szCs w:val="16"/>
                <w:highlight w:val="none"/>
                <w:u w:val="none"/>
                <w:lang w:val="en-US" w:eastAsia="zh-CN"/>
              </w:rPr>
              <w:t>执行</w:t>
            </w:r>
            <w:r>
              <w:rPr>
                <w:rFonts w:hint="eastAsia" w:ascii="宋体" w:hAnsi="宋体" w:eastAsia="宋体" w:cs="宋体"/>
                <w:i w:val="0"/>
                <w:iCs w:val="0"/>
                <w:color w:val="auto"/>
                <w:sz w:val="16"/>
                <w:szCs w:val="16"/>
                <w:highlight w:val="none"/>
                <w:u w:val="none"/>
                <w:lang w:val="en-US" w:eastAsia="zh-CN"/>
              </w:rPr>
              <w:t>重点问题台账销号</w:t>
            </w:r>
            <w:r>
              <w:rPr>
                <w:rFonts w:hint="eastAsia" w:ascii="宋体" w:hAnsi="宋体" w:cs="宋体"/>
                <w:i w:val="0"/>
                <w:iCs w:val="0"/>
                <w:color w:val="auto"/>
                <w:sz w:val="16"/>
                <w:szCs w:val="16"/>
                <w:highlight w:val="none"/>
                <w:u w:val="none"/>
                <w:lang w:val="en-US" w:eastAsia="zh-CN"/>
              </w:rPr>
              <w:t>制度</w:t>
            </w:r>
            <w:r>
              <w:rPr>
                <w:rFonts w:hint="eastAsia" w:ascii="宋体" w:hAnsi="宋体" w:eastAsia="宋体" w:cs="宋体"/>
                <w:i w:val="0"/>
                <w:iCs w:val="0"/>
                <w:color w:val="auto"/>
                <w:sz w:val="16"/>
                <w:szCs w:val="16"/>
                <w:highlight w:val="none"/>
                <w:u w:val="none"/>
                <w:lang w:val="en-US" w:eastAsia="zh-CN"/>
              </w:rPr>
              <w:t>，推动各项安全措施系统化、长效化运行。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30" w:hRule="atLeast"/>
          <w:jc w:val="center"/>
        </w:trPr>
        <w:tc>
          <w:tcPr>
            <w:tcW w:w="1296" w:type="dxa"/>
            <w:vMerge w:val="restart"/>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三、保障措施</w:t>
            </w:r>
          </w:p>
        </w:tc>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（六）人才保障​</w:t>
            </w: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7</w:t>
            </w:r>
            <w:r>
              <w:rPr>
                <w:rFonts w:hint="eastAsia" w:ascii="宋体" w:hAnsi="宋体" w:eastAsia="宋体" w:cs="宋体"/>
                <w:i w:val="0"/>
                <w:iCs w:val="0"/>
                <w:color w:val="auto"/>
                <w:sz w:val="16"/>
                <w:szCs w:val="16"/>
                <w:highlight w:val="none"/>
                <w:u w:val="none"/>
                <w:lang w:val="en-US" w:eastAsia="zh-CN"/>
              </w:rPr>
              <w:t>.实施“人才强市”战略。</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围绕绿色化工、新能源+、装备制造等重点产业领域，引进掌握核心技术、具备创新能力的高层次科技创新人才和具有带动作用的领军型团队。同时，加强本土人才的系统化培育，依托职业院校、企业实训基地，建立健全覆盖多工种的技能型人才培养体系，推动形成外引内育、结构合理、持续发展的人才队伍新格局。</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市委组织部</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市人社局</w:t>
            </w:r>
            <w:r>
              <w:rPr>
                <w:rFonts w:hint="eastAsia" w:ascii="宋体" w:hAnsi="宋体" w:cs="宋体"/>
                <w:i w:val="0"/>
                <w:iCs w:val="0"/>
                <w:color w:val="auto"/>
                <w:sz w:val="16"/>
                <w:szCs w:val="16"/>
                <w:highlight w:val="none"/>
                <w:u w:val="none"/>
                <w:lang w:val="en-US" w:eastAsia="zh-CN"/>
              </w:rPr>
              <w:t>、教育局</w:t>
            </w:r>
            <w:r>
              <w:rPr>
                <w:rFonts w:hint="eastAsia" w:ascii="宋体" w:hAnsi="宋体" w:eastAsia="宋体" w:cs="宋体"/>
                <w:i w:val="0"/>
                <w:iCs w:val="0"/>
                <w:color w:val="auto"/>
                <w:sz w:val="16"/>
                <w:szCs w:val="16"/>
                <w:highlight w:val="none"/>
                <w:u w:val="none"/>
                <w:lang w:val="en-US" w:eastAsia="zh-CN"/>
              </w:rPr>
              <w:t>，域内高校</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深化“呼伦贝尔英才”工程实施细则，聚焦绿色化工、新能源等重点领域</w:t>
            </w:r>
            <w:r>
              <w:rPr>
                <w:rFonts w:hint="eastAsia" w:ascii="宋体" w:hAnsi="宋体" w:cs="宋体"/>
                <w:i w:val="0"/>
                <w:iCs w:val="0"/>
                <w:color w:val="auto"/>
                <w:sz w:val="16"/>
                <w:szCs w:val="16"/>
                <w:highlight w:val="none"/>
                <w:u w:val="none"/>
                <w:lang w:val="en-US" w:eastAsia="zh-CN"/>
              </w:rPr>
              <w:t>引进相关人才</w:t>
            </w:r>
            <w:r>
              <w:rPr>
                <w:rFonts w:hint="default" w:ascii="宋体" w:hAnsi="宋体" w:eastAsia="宋体" w:cs="宋体"/>
                <w:i w:val="0"/>
                <w:iCs w:val="0"/>
                <w:color w:val="auto"/>
                <w:sz w:val="16"/>
                <w:szCs w:val="16"/>
                <w:highlight w:val="none"/>
                <w:u w:val="none"/>
                <w:lang w:val="en-US" w:eastAsia="zh-CN"/>
              </w:rPr>
              <w:t>，建立高层次人才需求目录；搭建校企合作培育平台，开展本土技能人才定向培训</w:t>
            </w:r>
            <w:r>
              <w:rPr>
                <w:rFonts w:hint="eastAsia" w:ascii="宋体" w:hAnsi="宋体" w:cs="宋体"/>
                <w:i w:val="0"/>
                <w:iCs w:val="0"/>
                <w:color w:val="auto"/>
                <w:sz w:val="16"/>
                <w:szCs w:val="16"/>
                <w:highlight w:val="none"/>
                <w:u w:val="none"/>
                <w:lang w:val="en-US" w:eastAsia="zh-CN"/>
              </w:rPr>
              <w:t>，</w:t>
            </w:r>
            <w:r>
              <w:rPr>
                <w:rFonts w:hint="default" w:ascii="宋体" w:hAnsi="宋体" w:eastAsia="宋体" w:cs="宋体"/>
                <w:i w:val="0"/>
                <w:iCs w:val="0"/>
                <w:color w:val="auto"/>
                <w:sz w:val="16"/>
                <w:szCs w:val="16"/>
                <w:highlight w:val="none"/>
                <w:u w:val="none"/>
                <w:lang w:val="en-US" w:eastAsia="zh-CN"/>
              </w:rPr>
              <w:t>构建人才引育基础框架。</w:t>
            </w:r>
          </w:p>
        </w:tc>
        <w:tc>
          <w:tcPr>
            <w:tcW w:w="2684" w:type="dxa"/>
            <w:tcBorders>
              <w:top w:val="single" w:color="auto" w:sz="4" w:space="0"/>
              <w:left w:val="single" w:color="auto" w:sz="4" w:space="0"/>
              <w:bottom w:val="single" w:color="auto" w:sz="4" w:space="0"/>
              <w:right w:val="single" w:color="auto" w:sz="12"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形成“精准引才+本土育强”长效机制，重点领域引进高层次创新团队；本土技能型人才梯队成型，高级工及以上人才占比显著提升；建立人才创新创业服务体系，人才成果转化率持续提高。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11" w:hRule="atLeast"/>
          <w:jc w:val="center"/>
        </w:trPr>
        <w:tc>
          <w:tcPr>
            <w:tcW w:w="1296" w:type="dxa"/>
            <w:vMerge w:val="continue"/>
            <w:tcBorders>
              <w:top w:val="single" w:color="auto" w:sz="4" w:space="0"/>
              <w:left w:val="single" w:color="auto" w:sz="12"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02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p>
        </w:tc>
        <w:tc>
          <w:tcPr>
            <w:tcW w:w="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4</w:t>
            </w:r>
            <w:r>
              <w:rPr>
                <w:rFonts w:hint="eastAsia" w:ascii="宋体" w:hAnsi="宋体" w:cs="宋体"/>
                <w:i w:val="0"/>
                <w:iCs w:val="0"/>
                <w:color w:val="auto"/>
                <w:sz w:val="16"/>
                <w:szCs w:val="16"/>
                <w:highlight w:val="none"/>
                <w:u w:val="none"/>
                <w:lang w:val="en-US" w:eastAsia="zh-CN"/>
              </w:rPr>
              <w:t>8</w:t>
            </w:r>
            <w:r>
              <w:rPr>
                <w:rFonts w:hint="eastAsia" w:ascii="宋体" w:hAnsi="宋体" w:eastAsia="宋体" w:cs="宋体"/>
                <w:i w:val="0"/>
                <w:iCs w:val="0"/>
                <w:color w:val="auto"/>
                <w:sz w:val="16"/>
                <w:szCs w:val="16"/>
                <w:highlight w:val="none"/>
                <w:u w:val="none"/>
                <w:lang w:val="en-US" w:eastAsia="zh-CN"/>
              </w:rPr>
              <w:t>.健全人才培养体系。</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全面提升地区人才供给质量，拓展高等教育资源，支持扎兰屯职业学院深化“双高”建设，加强职业技能培训，聚焦工业领域需求，通过校企合作、实训基地建设等方式，培养大批实用型技术技能人才，助力产业升级。加强“人才飞地”建设，利用异地创新平台，促进本地与域外人才交流合作，实现资源共享和优势互补。</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市教育局</w:t>
            </w:r>
            <w:r>
              <w:rPr>
                <w:rFonts w:hint="eastAsia" w:ascii="宋体" w:hAnsi="宋体" w:cs="宋体"/>
                <w:i w:val="0"/>
                <w:iCs w:val="0"/>
                <w:color w:val="auto"/>
                <w:sz w:val="16"/>
                <w:szCs w:val="16"/>
                <w:highlight w:val="none"/>
                <w:u w:val="none"/>
                <w:lang w:val="en-US" w:eastAsia="zh-CN"/>
              </w:rPr>
              <w:t>、</w:t>
            </w:r>
            <w:r>
              <w:rPr>
                <w:rFonts w:hint="eastAsia" w:ascii="宋体" w:hAnsi="宋体" w:eastAsia="宋体" w:cs="宋体"/>
                <w:i w:val="0"/>
                <w:iCs w:val="0"/>
                <w:color w:val="auto"/>
                <w:sz w:val="16"/>
                <w:szCs w:val="16"/>
                <w:highlight w:val="none"/>
                <w:u w:val="none"/>
                <w:lang w:val="en-US" w:eastAsia="zh-CN"/>
              </w:rPr>
              <w:t>人社局，</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cs="宋体"/>
                <w:i w:val="0"/>
                <w:iCs w:val="0"/>
                <w:color w:val="auto"/>
                <w:sz w:val="16"/>
                <w:szCs w:val="16"/>
                <w:highlight w:val="none"/>
                <w:u w:val="none"/>
                <w:lang w:val="en-US" w:eastAsia="zh-CN"/>
              </w:rPr>
              <w:t>市委组织部，</w:t>
            </w:r>
            <w:r>
              <w:rPr>
                <w:rFonts w:hint="eastAsia" w:ascii="宋体" w:hAnsi="宋体" w:eastAsia="宋体" w:cs="宋体"/>
                <w:i w:val="0"/>
                <w:iCs w:val="0"/>
                <w:color w:val="auto"/>
                <w:sz w:val="16"/>
                <w:szCs w:val="16"/>
                <w:highlight w:val="none"/>
                <w:u w:val="none"/>
                <w:lang w:val="en-US" w:eastAsia="zh-CN"/>
              </w:rPr>
              <w:t>域内高校</w:t>
            </w:r>
          </w:p>
        </w:tc>
        <w:tc>
          <w:tcPr>
            <w:tcW w:w="28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default" w:ascii="宋体" w:hAnsi="宋体" w:eastAsia="宋体" w:cs="宋体"/>
                <w:i w:val="0"/>
                <w:iCs w:val="0"/>
                <w:color w:val="auto"/>
                <w:sz w:val="16"/>
                <w:szCs w:val="16"/>
                <w:highlight w:val="none"/>
                <w:u w:val="none"/>
                <w:lang w:val="en-US" w:eastAsia="zh-CN"/>
              </w:rPr>
            </w:pPr>
            <w:r>
              <w:rPr>
                <w:rFonts w:hint="default" w:ascii="宋体" w:hAnsi="宋体" w:eastAsia="宋体" w:cs="宋体"/>
                <w:i w:val="0"/>
                <w:iCs w:val="0"/>
                <w:color w:val="auto"/>
                <w:sz w:val="16"/>
                <w:szCs w:val="16"/>
                <w:highlight w:val="none"/>
                <w:u w:val="none"/>
                <w:lang w:val="en-US" w:eastAsia="zh-CN"/>
              </w:rPr>
              <w:t>完成呼伦贝尔职业技术学院职业本科申报核心筹备，明确办学定位与工业类专业布局；启动扎兰屯职业学院“双高”建设重点专业群培育，搭建工业技能培训基础平台；制定“人才飞地”合作框架，与区内外院校、企业建立初步人才交流机制，夯实人才供给基础。</w:t>
            </w:r>
          </w:p>
        </w:tc>
        <w:tc>
          <w:tcPr>
            <w:tcW w:w="2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16"/>
                <w:szCs w:val="16"/>
                <w:highlight w:val="none"/>
                <w:u w:val="none"/>
                <w:lang w:val="en-US" w:eastAsia="zh-CN"/>
              </w:rPr>
            </w:pPr>
            <w:r>
              <w:rPr>
                <w:rFonts w:hint="eastAsia" w:ascii="宋体" w:hAnsi="宋体" w:eastAsia="宋体" w:cs="宋体"/>
                <w:i w:val="0"/>
                <w:iCs w:val="0"/>
                <w:color w:val="auto"/>
                <w:sz w:val="16"/>
                <w:szCs w:val="16"/>
                <w:highlight w:val="none"/>
                <w:u w:val="none"/>
                <w:lang w:val="en-US" w:eastAsia="zh-CN"/>
              </w:rPr>
              <w:t>实现呼伦贝尔职业技术学院职业本科挂牌招生，扎兰屯职业学院“双高”建设通过验收；“人才飞地”形成常态化人才互派、联合培养模式；构建“院校培育+企业实训+飞地交流”三位一体人才体系，</w:t>
            </w:r>
            <w:r>
              <w:rPr>
                <w:rFonts w:hint="eastAsia" w:ascii="宋体" w:hAnsi="宋体" w:cs="宋体"/>
                <w:i w:val="0"/>
                <w:iCs w:val="0"/>
                <w:color w:val="auto"/>
                <w:sz w:val="16"/>
                <w:szCs w:val="16"/>
                <w:highlight w:val="none"/>
                <w:u w:val="none"/>
                <w:lang w:val="en-US" w:eastAsia="zh-CN"/>
              </w:rPr>
              <w:t>常态化</w:t>
            </w:r>
            <w:r>
              <w:rPr>
                <w:rFonts w:hint="eastAsia" w:ascii="宋体" w:hAnsi="宋体" w:eastAsia="宋体" w:cs="宋体"/>
                <w:i w:val="0"/>
                <w:iCs w:val="0"/>
                <w:color w:val="auto"/>
                <w:sz w:val="16"/>
                <w:szCs w:val="16"/>
                <w:highlight w:val="none"/>
                <w:u w:val="none"/>
                <w:lang w:val="en-US" w:eastAsia="zh-CN"/>
              </w:rPr>
              <w:t>输送工业实用型人才。</w:t>
            </w:r>
          </w:p>
        </w:tc>
      </w:tr>
    </w:tbl>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sz w:val="32"/>
          <w:szCs w:val="32"/>
          <w:lang w:val="en-US" w:eastAsia="zh-CN"/>
        </w:rPr>
        <w:sectPr>
          <w:pgSz w:w="16838" w:h="11906" w:orient="landscape"/>
          <w:pgMar w:top="1531" w:right="2098" w:bottom="1531" w:left="1984" w:header="850" w:footer="1587" w:gutter="0"/>
          <w:pgNumType w:fmt="numberInDash"/>
          <w:cols w:space="720" w:num="1"/>
          <w:docGrid w:linePitch="360" w:charSpace="0"/>
        </w:sectPr>
      </w:pP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jc w:val="both"/>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附件2</w:t>
      </w:r>
    </w:p>
    <w:p>
      <w:pPr>
        <w:pStyle w:val="2"/>
        <w:keepNext w:val="0"/>
        <w:keepLines w:val="0"/>
        <w:pageBreakBefore w:val="0"/>
        <w:widowControl w:val="0"/>
        <w:kinsoku/>
        <w:wordWrap/>
        <w:overflowPunct/>
        <w:topLinePunct w:val="0"/>
        <w:autoSpaceDE/>
        <w:autoSpaceDN/>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color w:val="auto"/>
          <w:sz w:val="44"/>
          <w:szCs w:val="32"/>
          <w:highlight w:val="none"/>
        </w:rPr>
      </w:pPr>
    </w:p>
    <w:p>
      <w:pPr>
        <w:pStyle w:val="2"/>
        <w:keepNext w:val="0"/>
        <w:keepLines w:val="0"/>
        <w:pageBreakBefore w:val="0"/>
        <w:widowControl w:val="0"/>
        <w:kinsoku/>
        <w:wordWrap/>
        <w:overflowPunct/>
        <w:topLinePunct w:val="0"/>
        <w:autoSpaceDE/>
        <w:autoSpaceDN/>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color w:val="auto"/>
          <w:sz w:val="44"/>
          <w:szCs w:val="32"/>
          <w:highlight w:val="none"/>
        </w:rPr>
      </w:pPr>
      <w:r>
        <w:rPr>
          <w:rFonts w:hint="eastAsia" w:ascii="方正小标宋简体" w:hAnsi="方正小标宋简体" w:eastAsia="方正小标宋简体" w:cs="方正小标宋简体"/>
          <w:b w:val="0"/>
          <w:bCs w:val="0"/>
          <w:color w:val="auto"/>
          <w:sz w:val="44"/>
          <w:szCs w:val="32"/>
          <w:highlight w:val="none"/>
        </w:rPr>
        <w:t>支持呼伦贝尔市“十五五”</w:t>
      </w:r>
      <w:r>
        <w:rPr>
          <w:rFonts w:hint="eastAsia" w:ascii="方正小标宋简体" w:hAnsi="方正小标宋简体" w:eastAsia="方正小标宋简体" w:cs="方正小标宋简体"/>
          <w:b w:val="0"/>
          <w:bCs w:val="0"/>
          <w:color w:val="auto"/>
          <w:sz w:val="44"/>
          <w:szCs w:val="32"/>
          <w:highlight w:val="none"/>
          <w:lang w:val="en-US" w:eastAsia="zh-CN"/>
        </w:rPr>
        <w:t>工业经济</w:t>
      </w:r>
      <w:r>
        <w:rPr>
          <w:rFonts w:hint="eastAsia" w:ascii="方正小标宋简体" w:hAnsi="方正小标宋简体" w:eastAsia="方正小标宋简体" w:cs="方正小标宋简体"/>
          <w:b w:val="0"/>
          <w:bCs w:val="0"/>
          <w:color w:val="auto"/>
          <w:sz w:val="44"/>
          <w:szCs w:val="32"/>
          <w:highlight w:val="none"/>
        </w:rPr>
        <w:t>高质量</w:t>
      </w:r>
    </w:p>
    <w:p>
      <w:pPr>
        <w:pStyle w:val="2"/>
        <w:keepNext w:val="0"/>
        <w:keepLines w:val="0"/>
        <w:pageBreakBefore w:val="0"/>
        <w:widowControl w:val="0"/>
        <w:kinsoku/>
        <w:wordWrap/>
        <w:overflowPunct/>
        <w:topLinePunct w:val="0"/>
        <w:autoSpaceDE/>
        <w:autoSpaceDN/>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color w:val="auto"/>
          <w:sz w:val="44"/>
          <w:szCs w:val="32"/>
          <w:highlight w:val="none"/>
        </w:rPr>
      </w:pPr>
      <w:r>
        <w:rPr>
          <w:rFonts w:hint="eastAsia" w:ascii="方正小标宋简体" w:hAnsi="方正小标宋简体" w:eastAsia="方正小标宋简体" w:cs="方正小标宋简体"/>
          <w:b w:val="0"/>
          <w:bCs w:val="0"/>
          <w:color w:val="auto"/>
          <w:sz w:val="44"/>
          <w:szCs w:val="32"/>
          <w:highlight w:val="none"/>
        </w:rPr>
        <w:t>发展财政资金使用细则</w:t>
      </w:r>
    </w:p>
    <w:p>
      <w:pPr>
        <w:pStyle w:val="2"/>
        <w:keepNext w:val="0"/>
        <w:keepLines w:val="0"/>
        <w:pageBreakBefore w:val="0"/>
        <w:widowControl w:val="0"/>
        <w:kinsoku/>
        <w:wordWrap/>
        <w:overflowPunct/>
        <w:topLinePunct w:val="0"/>
        <w:autoSpaceDE/>
        <w:autoSpaceDN/>
        <w:bidi w:val="0"/>
        <w:adjustRightInd w:val="0"/>
        <w:snapToGrid/>
        <w:spacing w:before="0" w:after="0" w:line="600" w:lineRule="exact"/>
        <w:jc w:val="center"/>
        <w:textAlignment w:val="auto"/>
        <w:rPr>
          <w:rFonts w:hint="eastAsia" w:ascii="方正小标宋简体" w:hAnsi="方正小标宋简体" w:eastAsia="方正小标宋简体" w:cs="方正小标宋简体"/>
          <w:b w:val="0"/>
          <w:bCs w:val="0"/>
          <w:color w:val="auto"/>
          <w:sz w:val="44"/>
          <w:szCs w:val="32"/>
          <w:highlight w:val="none"/>
        </w:rPr>
      </w:pPr>
    </w:p>
    <w:p>
      <w:pPr>
        <w:pStyle w:val="10"/>
        <w:keepNext w:val="0"/>
        <w:keepLines w:val="0"/>
        <w:pageBreakBefore w:val="0"/>
        <w:widowControl w:val="0"/>
        <w:kinsoku/>
        <w:wordWrap/>
        <w:overflowPunct/>
        <w:topLinePunct w:val="0"/>
        <w:autoSpaceDE/>
        <w:autoSpaceDN/>
        <w:bidi w:val="0"/>
        <w:adjustRightInd w:val="0"/>
        <w:snapToGrid/>
        <w:spacing w:after="0" w:line="600" w:lineRule="exact"/>
        <w:ind w:firstLine="640" w:firstLineChars="200"/>
        <w:jc w:val="both"/>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一、总则</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kern w:val="2"/>
          <w:sz w:val="32"/>
          <w:szCs w:val="32"/>
          <w:highlight w:val="none"/>
          <w:lang w:bidi="ar-SA"/>
        </w:rPr>
        <w:t>（一）</w:t>
      </w:r>
      <w:r>
        <w:rPr>
          <w:rFonts w:hint="eastAsia" w:ascii="楷体_GB2312" w:hAnsi="楷体_GB2312" w:eastAsia="楷体_GB2312" w:cs="楷体_GB2312"/>
          <w:b/>
          <w:bCs/>
          <w:color w:val="auto"/>
          <w:sz w:val="32"/>
          <w:szCs w:val="32"/>
          <w:highlight w:val="none"/>
        </w:rPr>
        <w:t>制定依据</w:t>
      </w:r>
    </w:p>
    <w:p>
      <w:pPr>
        <w:pStyle w:val="10"/>
        <w:keepNext w:val="0"/>
        <w:keepLines w:val="0"/>
        <w:pageBreakBefore w:val="0"/>
        <w:widowControl w:val="0"/>
        <w:kinsoku/>
        <w:wordWrap/>
        <w:overflowPunct/>
        <w:topLinePunct w:val="0"/>
        <w:autoSpaceDE/>
        <w:autoSpaceDN/>
        <w:bidi w:val="0"/>
        <w:adjustRightInd w:val="0"/>
        <w:snapToGrid/>
        <w:spacing w:after="0"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根据《推进呼伦贝尔市“十五五”</w:t>
      </w:r>
      <w:r>
        <w:rPr>
          <w:rFonts w:hint="eastAsia" w:ascii="仿宋_GB2312" w:hAnsi="仿宋_GB2312" w:eastAsia="仿宋_GB2312" w:cs="仿宋_GB2312"/>
          <w:color w:val="auto"/>
          <w:sz w:val="32"/>
          <w:szCs w:val="32"/>
          <w:highlight w:val="none"/>
          <w:lang w:val="en-US" w:eastAsia="zh-CN"/>
        </w:rPr>
        <w:t>工业经济</w:t>
      </w:r>
      <w:r>
        <w:rPr>
          <w:rFonts w:hint="eastAsia" w:ascii="仿宋_GB2312" w:hAnsi="仿宋_GB2312" w:eastAsia="仿宋_GB2312" w:cs="仿宋_GB2312"/>
          <w:color w:val="auto"/>
          <w:sz w:val="32"/>
          <w:szCs w:val="32"/>
          <w:highlight w:val="none"/>
        </w:rPr>
        <w:t>高质量发展实施方案》，为规范财政支持工业经济发展资金（以下简称“专项资金”）使用管理，提高资金使用效益，制定本细则。</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kern w:val="2"/>
          <w:sz w:val="32"/>
          <w:szCs w:val="32"/>
          <w:highlight w:val="none"/>
          <w:lang w:bidi="ar-SA"/>
        </w:rPr>
        <w:t>（二）</w:t>
      </w:r>
      <w:r>
        <w:rPr>
          <w:rFonts w:hint="eastAsia" w:ascii="楷体_GB2312" w:hAnsi="楷体_GB2312" w:eastAsia="楷体_GB2312" w:cs="楷体_GB2312"/>
          <w:b/>
          <w:bCs/>
          <w:color w:val="auto"/>
          <w:sz w:val="32"/>
          <w:szCs w:val="32"/>
          <w:highlight w:val="none"/>
        </w:rPr>
        <w:t>资金额度与期限</w:t>
      </w:r>
    </w:p>
    <w:p>
      <w:pPr>
        <w:pStyle w:val="10"/>
        <w:keepNext w:val="0"/>
        <w:keepLines w:val="0"/>
        <w:pageBreakBefore w:val="0"/>
        <w:widowControl w:val="0"/>
        <w:kinsoku/>
        <w:wordWrap/>
        <w:overflowPunct/>
        <w:topLinePunct w:val="0"/>
        <w:autoSpaceDE/>
        <w:autoSpaceDN/>
        <w:bidi w:val="0"/>
        <w:adjustRightInd w:val="0"/>
        <w:snapToGrid/>
        <w:spacing w:after="0"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“十五五”期间，</w:t>
      </w:r>
      <w:r>
        <w:rPr>
          <w:rFonts w:hint="eastAsia" w:ascii="仿宋_GB2312" w:hAnsi="仿宋_GB2312" w:eastAsia="仿宋_GB2312" w:cs="仿宋_GB2312"/>
          <w:color w:val="auto"/>
          <w:sz w:val="32"/>
          <w:szCs w:val="32"/>
          <w:highlight w:val="none"/>
          <w:lang w:val="en-US" w:eastAsia="zh-CN"/>
        </w:rPr>
        <w:t>市本级财政每年安排市工信局6000万元专项资金</w:t>
      </w:r>
      <w:r>
        <w:rPr>
          <w:rFonts w:hint="eastAsia" w:ascii="仿宋_GB2312" w:hAnsi="仿宋_GB2312" w:eastAsia="仿宋_GB2312" w:cs="仿宋_GB2312"/>
          <w:color w:val="auto"/>
          <w:sz w:val="32"/>
          <w:szCs w:val="32"/>
          <w:highlight w:val="none"/>
        </w:rPr>
        <w:t>，用于支持工业经济高质量发展。资金实行年度预算管理，按本细则规定的方向和标准分配使用。</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kern w:val="2"/>
          <w:sz w:val="32"/>
          <w:szCs w:val="32"/>
          <w:highlight w:val="none"/>
          <w:lang w:bidi="ar-SA"/>
        </w:rPr>
        <w:t>（三）</w:t>
      </w:r>
      <w:r>
        <w:rPr>
          <w:rFonts w:hint="eastAsia" w:ascii="楷体_GB2312" w:hAnsi="楷体_GB2312" w:eastAsia="楷体_GB2312" w:cs="楷体_GB2312"/>
          <w:b/>
          <w:bCs/>
          <w:color w:val="auto"/>
          <w:sz w:val="32"/>
          <w:szCs w:val="32"/>
          <w:highlight w:val="none"/>
        </w:rPr>
        <w:t>使用原则</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1.</w:t>
      </w:r>
      <w:r>
        <w:rPr>
          <w:rFonts w:hint="eastAsia" w:ascii="仿宋_GB2312" w:hAnsi="仿宋_GB2312" w:eastAsia="仿宋_GB2312" w:cs="仿宋_GB2312"/>
          <w:color w:val="auto"/>
          <w:sz w:val="32"/>
          <w:szCs w:val="32"/>
          <w:highlight w:val="none"/>
        </w:rPr>
        <w:t>聚焦重点：围绕“五业协同”“</w:t>
      </w:r>
      <w:r>
        <w:rPr>
          <w:rFonts w:hint="eastAsia" w:ascii="仿宋_GB2312" w:hAnsi="仿宋_GB2312" w:eastAsia="仿宋_GB2312" w:cs="仿宋_GB2312"/>
          <w:color w:val="auto"/>
          <w:sz w:val="32"/>
          <w:szCs w:val="32"/>
          <w:highlight w:val="none"/>
          <w:lang w:val="en-US" w:eastAsia="zh-CN"/>
        </w:rPr>
        <w:t>四维</w:t>
      </w:r>
      <w:r>
        <w:rPr>
          <w:rFonts w:hint="eastAsia" w:ascii="仿宋_GB2312" w:hAnsi="仿宋_GB2312" w:eastAsia="仿宋_GB2312" w:cs="仿宋_GB2312"/>
          <w:color w:val="auto"/>
          <w:sz w:val="32"/>
          <w:szCs w:val="32"/>
          <w:highlight w:val="none"/>
        </w:rPr>
        <w:t>赋能”核心任务，精准支持产业升级、创新驱动、绿色低碳等关键领域；</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2.</w:t>
      </w:r>
      <w:r>
        <w:rPr>
          <w:rFonts w:hint="eastAsia" w:ascii="仿宋_GB2312" w:hAnsi="仿宋_GB2312" w:eastAsia="仿宋_GB2312" w:cs="仿宋_GB2312"/>
          <w:color w:val="auto"/>
          <w:sz w:val="32"/>
          <w:szCs w:val="32"/>
          <w:highlight w:val="none"/>
        </w:rPr>
        <w:t>公开透明：申报、审核、公示等流程全程公开，接受社会监督；</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3.</w:t>
      </w:r>
      <w:r>
        <w:rPr>
          <w:rFonts w:hint="eastAsia" w:ascii="仿宋_GB2312" w:hAnsi="仿宋_GB2312" w:eastAsia="仿宋_GB2312" w:cs="仿宋_GB2312"/>
          <w:color w:val="auto"/>
          <w:sz w:val="32"/>
          <w:szCs w:val="32"/>
          <w:highlight w:val="none"/>
        </w:rPr>
        <w:t>专款专用：资金专项用于明确支持事项，严禁截留、挪用、骗取；</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4.</w:t>
      </w:r>
      <w:r>
        <w:rPr>
          <w:rFonts w:hint="eastAsia" w:ascii="仿宋_GB2312" w:hAnsi="仿宋_GB2312" w:eastAsia="仿宋_GB2312" w:cs="仿宋_GB2312"/>
          <w:color w:val="auto"/>
          <w:sz w:val="32"/>
          <w:szCs w:val="32"/>
          <w:highlight w:val="none"/>
        </w:rPr>
        <w:t>绩效导向：以项目成效、指标完成情况为核心分配资金，强化绩效评价结果应用；</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5.</w:t>
      </w:r>
      <w:r>
        <w:rPr>
          <w:rFonts w:hint="eastAsia" w:ascii="仿宋_GB2312" w:hAnsi="仿宋_GB2312" w:eastAsia="仿宋_GB2312" w:cs="仿宋_GB2312"/>
          <w:color w:val="auto"/>
          <w:sz w:val="32"/>
          <w:szCs w:val="32"/>
          <w:highlight w:val="none"/>
        </w:rPr>
        <w:t>分级分担：涉及旗市区配套的事项，按财政事权划分比例共同承担资金。</w:t>
      </w:r>
    </w:p>
    <w:p>
      <w:pPr>
        <w:pStyle w:val="10"/>
        <w:keepNext w:val="0"/>
        <w:keepLines w:val="0"/>
        <w:pageBreakBefore w:val="0"/>
        <w:widowControl w:val="0"/>
        <w:kinsoku/>
        <w:wordWrap/>
        <w:overflowPunct/>
        <w:topLinePunct w:val="0"/>
        <w:autoSpaceDE/>
        <w:autoSpaceDN/>
        <w:bidi w:val="0"/>
        <w:adjustRightInd w:val="0"/>
        <w:snapToGrid/>
        <w:spacing w:after="0" w:line="600" w:lineRule="exact"/>
        <w:ind w:firstLine="640" w:firstLineChars="200"/>
        <w:jc w:val="both"/>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rPr>
        <w:t>二、</w:t>
      </w:r>
      <w:r>
        <w:rPr>
          <w:rFonts w:hint="eastAsia" w:ascii="黑体" w:hAnsi="黑体" w:eastAsia="黑体" w:cs="黑体"/>
          <w:color w:val="auto"/>
          <w:sz w:val="32"/>
          <w:szCs w:val="32"/>
          <w:highlight w:val="none"/>
          <w:lang w:val="en-US" w:eastAsia="zh-CN"/>
        </w:rPr>
        <w:t>财政资金支持方向及具体使用规定</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bidi="ar-SA"/>
        </w:rPr>
      </w:pP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val="en-US" w:eastAsia="zh-CN" w:bidi="ar-SA"/>
        </w:rPr>
        <w:t>一</w:t>
      </w: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bidi="ar-SA"/>
        </w:rPr>
        <w:t>工业园区基础设施“补短板”</w:t>
      </w:r>
      <w:r>
        <w:rPr>
          <w:rFonts w:hint="eastAsia" w:ascii="楷体_GB2312" w:hAnsi="楷体_GB2312" w:eastAsia="楷体_GB2312" w:cs="楷体_GB2312"/>
          <w:b/>
          <w:bCs/>
          <w:color w:val="auto"/>
          <w:kern w:val="2"/>
          <w:sz w:val="32"/>
          <w:szCs w:val="32"/>
          <w:highlight w:val="none"/>
          <w:lang w:val="en-US" w:eastAsia="zh-CN" w:bidi="ar-SA"/>
        </w:rPr>
        <w:t>方向</w:t>
      </w:r>
      <w:r>
        <w:rPr>
          <w:rFonts w:hint="eastAsia" w:ascii="楷体_GB2312" w:hAnsi="楷体_GB2312" w:eastAsia="楷体_GB2312" w:cs="楷体_GB2312"/>
          <w:b/>
          <w:bCs/>
          <w:color w:val="auto"/>
          <w:kern w:val="2"/>
          <w:sz w:val="32"/>
          <w:szCs w:val="32"/>
          <w:highlight w:val="none"/>
          <w:lang w:bidi="ar-SA"/>
        </w:rPr>
        <w:t>（年度预算</w:t>
      </w:r>
      <w:r>
        <w:rPr>
          <w:rFonts w:hint="eastAsia" w:ascii="楷体_GB2312" w:hAnsi="楷体_GB2312" w:eastAsia="楷体_GB2312" w:cs="楷体_GB2312"/>
          <w:b/>
          <w:bCs/>
          <w:color w:val="auto"/>
          <w:kern w:val="2"/>
          <w:sz w:val="32"/>
          <w:szCs w:val="32"/>
          <w:highlight w:val="none"/>
          <w:lang w:val="en-US" w:eastAsia="zh-CN" w:bidi="ar-SA"/>
        </w:rPr>
        <w:t>40</w:t>
      </w:r>
      <w:r>
        <w:rPr>
          <w:rFonts w:hint="eastAsia" w:ascii="楷体_GB2312" w:hAnsi="楷体_GB2312" w:eastAsia="楷体_GB2312" w:cs="楷体_GB2312"/>
          <w:b/>
          <w:bCs/>
          <w:color w:val="auto"/>
          <w:kern w:val="2"/>
          <w:sz w:val="32"/>
          <w:szCs w:val="32"/>
          <w:highlight w:val="none"/>
          <w:lang w:bidi="ar-SA"/>
        </w:rPr>
        <w:t>00万元）</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1.支持事项</w:t>
      </w:r>
    </w:p>
    <w:p>
      <w:pPr>
        <w:pStyle w:val="10"/>
        <w:keepNext w:val="0"/>
        <w:keepLines w:val="0"/>
        <w:pageBreakBefore w:val="0"/>
        <w:widowControl w:val="0"/>
        <w:kinsoku/>
        <w:wordWrap/>
        <w:overflowPunct/>
        <w:topLinePunct w:val="0"/>
        <w:autoSpaceDE/>
        <w:autoSpaceDN/>
        <w:bidi w:val="0"/>
        <w:snapToGrid/>
        <w:spacing w:after="0"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
        </w:rPr>
        <w:t>参照《内蒙古自治区工业园区发展</w:t>
      </w:r>
      <w:r>
        <w:rPr>
          <w:rFonts w:hint="eastAsia" w:ascii="仿宋_GB2312" w:hAnsi="仿宋_GB2312" w:eastAsia="仿宋_GB2312" w:cs="仿宋_GB2312"/>
          <w:color w:val="auto"/>
          <w:sz w:val="32"/>
          <w:szCs w:val="32"/>
          <w:highlight w:val="none"/>
          <w:lang w:eastAsia="zh-CN"/>
        </w:rPr>
        <w:t>项目和</w:t>
      </w:r>
      <w:r>
        <w:rPr>
          <w:rFonts w:hint="eastAsia" w:ascii="仿宋_GB2312" w:hAnsi="仿宋_GB2312" w:eastAsia="仿宋_GB2312" w:cs="仿宋_GB2312"/>
          <w:color w:val="auto"/>
          <w:sz w:val="32"/>
          <w:szCs w:val="32"/>
          <w:highlight w:val="none"/>
          <w:lang w:eastAsia="zh"/>
        </w:rPr>
        <w:t>资金管理办法》</w:t>
      </w:r>
      <w:r>
        <w:rPr>
          <w:rFonts w:hint="eastAsia" w:ascii="仿宋_GB2312" w:hAnsi="仿宋_GB2312" w:eastAsia="仿宋_GB2312" w:cs="仿宋_GB2312"/>
          <w:color w:val="auto"/>
          <w:sz w:val="32"/>
          <w:szCs w:val="32"/>
          <w:highlight w:val="none"/>
          <w:lang w:eastAsia="zh-CN"/>
        </w:rPr>
        <w:t>（内工信园区字〔</w:t>
      </w:r>
      <w:r>
        <w:rPr>
          <w:rFonts w:hint="eastAsia" w:ascii="仿宋_GB2312" w:hAnsi="仿宋_GB2312" w:eastAsia="仿宋_GB2312" w:cs="仿宋_GB2312"/>
          <w:color w:val="auto"/>
          <w:sz w:val="32"/>
          <w:szCs w:val="32"/>
          <w:highlight w:val="none"/>
          <w:lang w:val="en-US" w:eastAsia="zh-CN"/>
        </w:rPr>
        <w:t>2025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389号</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eastAsia="zh"/>
        </w:rPr>
        <w:t>，</w:t>
      </w:r>
      <w:r>
        <w:rPr>
          <w:rFonts w:hint="eastAsia" w:ascii="仿宋_GB2312" w:hAnsi="仿宋_GB2312" w:eastAsia="仿宋_GB2312" w:cs="仿宋_GB2312"/>
          <w:color w:val="auto"/>
          <w:sz w:val="32"/>
          <w:szCs w:val="32"/>
          <w:highlight w:val="none"/>
        </w:rPr>
        <w:t>重点支持全市工业园区道路、给排水、污水处理、集中供热、固废处置、消防特勤站、停车场、供电、通讯等公共基础设施建设项目。</w:t>
      </w:r>
      <w:r>
        <w:rPr>
          <w:rFonts w:hint="eastAsia" w:ascii="仿宋_GB2312" w:hAnsi="仿宋_GB2312" w:eastAsia="仿宋_GB2312" w:cs="仿宋_GB2312"/>
          <w:color w:val="auto"/>
          <w:sz w:val="32"/>
          <w:szCs w:val="32"/>
          <w:highlight w:val="none"/>
          <w:lang w:eastAsia="zh-CN"/>
        </w:rPr>
        <w:t>市直属（不含满洲里市）工业园区产业发展规划、园区建设</w:t>
      </w:r>
      <w:r>
        <w:rPr>
          <w:rFonts w:hint="eastAsia" w:ascii="仿宋_GB2312" w:hAnsi="仿宋_GB2312" w:eastAsia="仿宋_GB2312" w:cs="仿宋_GB2312"/>
          <w:color w:val="auto"/>
          <w:sz w:val="32"/>
          <w:szCs w:val="32"/>
          <w:highlight w:val="none"/>
          <w:lang w:val="en-US" w:eastAsia="zh-CN"/>
        </w:rPr>
        <w:t>相关</w:t>
      </w:r>
      <w:r>
        <w:rPr>
          <w:rFonts w:hint="eastAsia" w:ascii="仿宋_GB2312" w:hAnsi="仿宋_GB2312" w:eastAsia="仿宋_GB2312" w:cs="仿宋_GB2312"/>
          <w:color w:val="auto"/>
          <w:sz w:val="32"/>
          <w:szCs w:val="32"/>
          <w:highlight w:val="none"/>
          <w:lang w:eastAsia="zh-CN"/>
        </w:rPr>
        <w:t>规划专家评审费用支出。</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2.支持标准</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支持</w:t>
      </w:r>
      <w:r>
        <w:rPr>
          <w:rFonts w:hint="eastAsia" w:ascii="仿宋_GB2312" w:hAnsi="仿宋_GB2312" w:eastAsia="仿宋_GB2312" w:cs="仿宋_GB2312"/>
          <w:color w:val="auto"/>
          <w:sz w:val="32"/>
          <w:szCs w:val="32"/>
          <w:highlight w:val="none"/>
        </w:rPr>
        <w:t>比例：</w:t>
      </w:r>
      <w:r>
        <w:rPr>
          <w:rFonts w:hint="eastAsia" w:ascii="仿宋_GB2312" w:hAnsi="仿宋_GB2312" w:eastAsia="仿宋_GB2312" w:cs="仿宋_GB2312"/>
          <w:color w:val="auto"/>
          <w:sz w:val="32"/>
          <w:szCs w:val="32"/>
          <w:highlight w:val="none"/>
          <w:lang w:val="en-US" w:eastAsia="zh-CN"/>
        </w:rPr>
        <w:t>对</w:t>
      </w:r>
      <w:r>
        <w:rPr>
          <w:rFonts w:hint="eastAsia" w:ascii="仿宋_GB2312" w:hAnsi="仿宋_GB2312" w:eastAsia="仿宋_GB2312" w:cs="仿宋_GB2312"/>
          <w:color w:val="auto"/>
          <w:sz w:val="32"/>
          <w:szCs w:val="32"/>
          <w:highlight w:val="none"/>
        </w:rPr>
        <w:t>单体1000万元以上项目给予支持</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按项目总投资额的</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0%给予</w:t>
      </w:r>
      <w:r>
        <w:rPr>
          <w:rFonts w:hint="eastAsia" w:ascii="仿宋_GB2312" w:hAnsi="仿宋_GB2312" w:eastAsia="仿宋_GB2312" w:cs="仿宋_GB2312"/>
          <w:color w:val="auto"/>
          <w:sz w:val="32"/>
          <w:szCs w:val="32"/>
          <w:highlight w:val="none"/>
          <w:lang w:val="en-US" w:eastAsia="zh-CN"/>
        </w:rPr>
        <w:t>支持</w:t>
      </w:r>
      <w:r>
        <w:rPr>
          <w:rFonts w:hint="eastAsia" w:ascii="仿宋_GB2312" w:hAnsi="仿宋_GB2312" w:eastAsia="仿宋_GB2312" w:cs="仿宋_GB2312"/>
          <w:color w:val="auto"/>
          <w:sz w:val="32"/>
          <w:szCs w:val="32"/>
          <w:highlight w:val="none"/>
        </w:rPr>
        <w:t>；</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额度上限：单体项目最高</w:t>
      </w:r>
      <w:r>
        <w:rPr>
          <w:rFonts w:hint="eastAsia" w:ascii="仿宋_GB2312" w:hAnsi="仿宋_GB2312" w:eastAsia="仿宋_GB2312" w:cs="仿宋_GB2312"/>
          <w:color w:val="auto"/>
          <w:sz w:val="32"/>
          <w:szCs w:val="32"/>
          <w:highlight w:val="none"/>
          <w:lang w:val="en-US" w:eastAsia="zh-CN"/>
        </w:rPr>
        <w:t>支持10</w:t>
      </w:r>
      <w:r>
        <w:rPr>
          <w:rFonts w:hint="eastAsia" w:ascii="仿宋_GB2312" w:hAnsi="仿宋_GB2312" w:eastAsia="仿宋_GB2312" w:cs="仿宋_GB2312"/>
          <w:color w:val="auto"/>
          <w:sz w:val="32"/>
          <w:szCs w:val="32"/>
          <w:highlight w:val="none"/>
        </w:rPr>
        <w:t>00万元；</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优先级：优先支持相关</w:t>
      </w:r>
      <w:r>
        <w:rPr>
          <w:rFonts w:hint="eastAsia" w:ascii="仿宋_GB2312" w:hAnsi="仿宋_GB2312" w:eastAsia="仿宋_GB2312" w:cs="仿宋_GB2312"/>
          <w:color w:val="auto"/>
          <w:sz w:val="32"/>
          <w:szCs w:val="32"/>
          <w:highlight w:val="none"/>
          <w:lang w:eastAsia="zh-CN"/>
        </w:rPr>
        <w:t>补短板</w:t>
      </w:r>
      <w:r>
        <w:rPr>
          <w:rFonts w:hint="eastAsia" w:ascii="仿宋_GB2312" w:hAnsi="仿宋_GB2312" w:eastAsia="仿宋_GB2312" w:cs="仿宋_GB2312"/>
          <w:color w:val="auto"/>
          <w:sz w:val="32"/>
          <w:szCs w:val="32"/>
          <w:highlight w:val="none"/>
        </w:rPr>
        <w:t>基础设施项目，</w:t>
      </w:r>
      <w:r>
        <w:rPr>
          <w:rFonts w:hint="eastAsia" w:ascii="仿宋_GB2312" w:hAnsi="仿宋_GB2312" w:eastAsia="仿宋_GB2312" w:cs="仿宋_GB2312"/>
          <w:color w:val="auto"/>
          <w:sz w:val="32"/>
          <w:szCs w:val="32"/>
          <w:highlight w:val="none"/>
          <w:lang w:eastAsia="zh-CN"/>
        </w:rPr>
        <w:t>支持列为自治区、呼伦贝尔市重点推进项目。</w:t>
      </w:r>
      <w:r>
        <w:rPr>
          <w:rFonts w:hint="eastAsia" w:ascii="仿宋_GB2312" w:hAnsi="仿宋_GB2312" w:eastAsia="仿宋_GB2312" w:cs="仿宋_GB2312"/>
          <w:color w:val="auto"/>
          <w:sz w:val="32"/>
          <w:szCs w:val="32"/>
          <w:highlight w:val="none"/>
        </w:rPr>
        <w:t>其次支持普通工业园区补短板项目及自治区专项资金支持项目；</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评分规则：依据项目类型匹配度、信息完整性、前期手续合规性、开工及投资进度、资金合理性、申请规范性、项目层级等指标综合评分，对综合排名前三名的项目给予支持。</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3.兑付程序</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申报条件：项目单位为工业园区管理机构，项目已开</w:t>
      </w:r>
      <w:r>
        <w:rPr>
          <w:rFonts w:hint="eastAsia" w:ascii="仿宋_GB2312" w:hAnsi="仿宋_GB2312" w:eastAsia="仿宋_GB2312" w:cs="仿宋_GB2312"/>
          <w:color w:val="auto"/>
          <w:w w:val="96"/>
          <w:sz w:val="32"/>
          <w:szCs w:val="32"/>
          <w:highlight w:val="none"/>
        </w:rPr>
        <w:t>工建设，前期手续合规，提供审计报告、投资凭证等佐证材料；</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申报材料：提交《呼伦贝尔市工业园区基础设施补短板资金</w:t>
      </w:r>
      <w:r>
        <w:rPr>
          <w:rFonts w:hint="eastAsia" w:ascii="仿宋_GB2312" w:hAnsi="仿宋_GB2312" w:eastAsia="仿宋_GB2312" w:cs="仿宋_GB2312"/>
          <w:color w:val="auto"/>
          <w:sz w:val="32"/>
          <w:szCs w:val="32"/>
          <w:highlight w:val="none"/>
          <w:lang w:val="en-US" w:eastAsia="zh-CN"/>
        </w:rPr>
        <w:t>支持</w:t>
      </w:r>
      <w:r>
        <w:rPr>
          <w:rFonts w:hint="eastAsia" w:ascii="仿宋_GB2312" w:hAnsi="仿宋_GB2312" w:eastAsia="仿宋_GB2312" w:cs="仿宋_GB2312"/>
          <w:color w:val="auto"/>
          <w:sz w:val="32"/>
          <w:szCs w:val="32"/>
          <w:highlight w:val="none"/>
        </w:rPr>
        <w:t>申报表》、项目批复文件、施工合同、投资证明、自治区专项资金支持证明（如有）、项目进度说明等；</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w w:val="97"/>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审核流程：项目单位向市工信局申报→部门审核材料</w:t>
      </w:r>
      <w:r>
        <w:rPr>
          <w:rFonts w:hint="eastAsia" w:ascii="仿宋_GB2312" w:hAnsi="仿宋_GB2312" w:eastAsia="仿宋_GB2312" w:cs="仿宋_GB2312"/>
          <w:color w:val="auto"/>
          <w:w w:val="97"/>
          <w:sz w:val="32"/>
          <w:szCs w:val="32"/>
          <w:highlight w:val="none"/>
        </w:rPr>
        <w:t>真实性与合规性→按评分细则综合评分→确定补助项目及金额；</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资金拨付：一次性下达</w:t>
      </w:r>
      <w:r>
        <w:rPr>
          <w:rFonts w:hint="eastAsia" w:ascii="仿宋_GB2312" w:hAnsi="仿宋_GB2312" w:eastAsia="仿宋_GB2312" w:cs="仿宋_GB2312"/>
          <w:color w:val="auto"/>
          <w:sz w:val="32"/>
          <w:szCs w:val="32"/>
          <w:highlight w:val="none"/>
          <w:lang w:val="en-US" w:eastAsia="zh-CN"/>
        </w:rPr>
        <w:t>支持</w:t>
      </w:r>
      <w:r>
        <w:rPr>
          <w:rFonts w:hint="eastAsia" w:ascii="仿宋_GB2312" w:hAnsi="仿宋_GB2312" w:eastAsia="仿宋_GB2312" w:cs="仿宋_GB2312"/>
          <w:color w:val="auto"/>
          <w:sz w:val="32"/>
          <w:szCs w:val="32"/>
          <w:highlight w:val="none"/>
        </w:rPr>
        <w:t>资金，项目单位按规定专款专用；</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lang w:eastAsia="zh"/>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5</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后续管理：接受财政、审计部门监督检查，开展绩效评价。</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bidi="ar-SA"/>
        </w:rPr>
      </w:pP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val="en-US" w:eastAsia="zh-CN" w:bidi="ar-SA"/>
        </w:rPr>
        <w:t>二</w:t>
      </w: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bidi="ar-SA"/>
        </w:rPr>
        <w:t>创新能力建设</w:t>
      </w:r>
      <w:r>
        <w:rPr>
          <w:rFonts w:hint="eastAsia" w:ascii="楷体_GB2312" w:hAnsi="楷体_GB2312" w:eastAsia="楷体_GB2312" w:cs="楷体_GB2312"/>
          <w:b/>
          <w:bCs/>
          <w:color w:val="auto"/>
          <w:kern w:val="2"/>
          <w:sz w:val="32"/>
          <w:szCs w:val="32"/>
          <w:highlight w:val="none"/>
          <w:lang w:val="en-US" w:eastAsia="zh-CN" w:bidi="ar-SA"/>
        </w:rPr>
        <w:t>方向</w:t>
      </w:r>
      <w:r>
        <w:rPr>
          <w:rFonts w:hint="eastAsia" w:ascii="楷体_GB2312" w:hAnsi="楷体_GB2312" w:eastAsia="楷体_GB2312" w:cs="楷体_GB2312"/>
          <w:b/>
          <w:bCs/>
          <w:color w:val="auto"/>
          <w:kern w:val="2"/>
          <w:sz w:val="32"/>
          <w:szCs w:val="32"/>
          <w:highlight w:val="none"/>
          <w:lang w:bidi="ar-SA"/>
        </w:rPr>
        <w:t>（年度预算</w:t>
      </w:r>
      <w:r>
        <w:rPr>
          <w:rFonts w:hint="eastAsia" w:ascii="楷体_GB2312" w:hAnsi="楷体_GB2312" w:eastAsia="楷体_GB2312" w:cs="楷体_GB2312"/>
          <w:b/>
          <w:bCs/>
          <w:color w:val="auto"/>
          <w:kern w:val="2"/>
          <w:sz w:val="32"/>
          <w:szCs w:val="32"/>
          <w:highlight w:val="none"/>
          <w:lang w:val="en-US" w:eastAsia="zh-CN" w:bidi="ar-SA"/>
        </w:rPr>
        <w:t>6</w:t>
      </w:r>
      <w:r>
        <w:rPr>
          <w:rFonts w:hint="eastAsia" w:ascii="楷体_GB2312" w:hAnsi="楷体_GB2312" w:eastAsia="楷体_GB2312" w:cs="楷体_GB2312"/>
          <w:b/>
          <w:bCs/>
          <w:color w:val="auto"/>
          <w:kern w:val="2"/>
          <w:sz w:val="32"/>
          <w:szCs w:val="32"/>
          <w:highlight w:val="none"/>
          <w:lang w:bidi="ar-SA"/>
        </w:rPr>
        <w:t>00万元）</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1.支持事项</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重大技术装备研发与推广；</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制造业单项冠军</w:t>
      </w:r>
      <w:r>
        <w:rPr>
          <w:rFonts w:hint="eastAsia" w:ascii="仿宋_GB2312" w:hAnsi="仿宋_GB2312" w:eastAsia="仿宋_GB2312" w:cs="仿宋_GB2312"/>
          <w:color w:val="auto"/>
          <w:sz w:val="32"/>
          <w:szCs w:val="32"/>
          <w:highlight w:val="none"/>
          <w:lang w:val="en-US" w:eastAsia="zh-CN"/>
        </w:rPr>
        <w:t>培育</w:t>
      </w:r>
      <w:r>
        <w:rPr>
          <w:rFonts w:hint="eastAsia" w:ascii="仿宋_GB2312" w:hAnsi="仿宋_GB2312" w:eastAsia="仿宋_GB2312" w:cs="仿宋_GB2312"/>
          <w:color w:val="auto"/>
          <w:sz w:val="32"/>
          <w:szCs w:val="32"/>
          <w:highlight w:val="none"/>
          <w:lang w:eastAsia="zh-CN"/>
        </w:rPr>
        <w:t>；</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优质中小企业梯度培育；</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电信普遍服务边疆项目配套。</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 w:bidi="ar-SA"/>
        </w:rPr>
      </w:pPr>
      <w:r>
        <w:rPr>
          <w:rFonts w:hint="eastAsia" w:ascii="仿宋_GB2312" w:hAnsi="仿宋_GB2312" w:eastAsia="仿宋_GB2312" w:cs="仿宋_GB2312"/>
          <w:b/>
          <w:bCs/>
          <w:color w:val="auto"/>
          <w:kern w:val="2"/>
          <w:sz w:val="32"/>
          <w:szCs w:val="32"/>
          <w:highlight w:val="none"/>
          <w:lang w:val="en-US" w:eastAsia="zh-CN" w:bidi="ar-SA"/>
        </w:rPr>
        <w:t>2.支持</w:t>
      </w:r>
      <w:r>
        <w:rPr>
          <w:rFonts w:hint="eastAsia" w:ascii="仿宋_GB2312" w:hAnsi="仿宋_GB2312" w:eastAsia="仿宋_GB2312" w:cs="仿宋_GB2312"/>
          <w:b/>
          <w:bCs/>
          <w:color w:val="auto"/>
          <w:kern w:val="2"/>
          <w:sz w:val="32"/>
          <w:szCs w:val="32"/>
          <w:highlight w:val="none"/>
          <w:lang w:val="en-US" w:eastAsia="zh" w:bidi="ar-SA"/>
        </w:rPr>
        <w:t>依据及理由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885"/>
        <w:gridCol w:w="2303"/>
        <w:gridCol w:w="4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5" w:hRule="atLeast"/>
          <w:jc w:val="center"/>
        </w:trPr>
        <w:tc>
          <w:tcPr>
            <w:tcW w:w="1885" w:type="dxa"/>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支持类别</w:t>
            </w:r>
          </w:p>
        </w:tc>
        <w:tc>
          <w:tcPr>
            <w:tcW w:w="2303" w:type="dxa"/>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具体事项</w:t>
            </w:r>
          </w:p>
        </w:tc>
        <w:tc>
          <w:tcPr>
            <w:tcW w:w="4491" w:type="dxa"/>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lang w:val="en-US" w:eastAsia="zh"/>
              </w:rPr>
            </w:pPr>
            <w:r>
              <w:rPr>
                <w:rFonts w:hint="eastAsia" w:ascii="楷体_GB2312" w:hAnsi="楷体_GB2312" w:eastAsia="楷体_GB2312" w:cs="楷体_GB2312"/>
                <w:b/>
                <w:bCs/>
                <w:color w:val="auto"/>
                <w:sz w:val="32"/>
                <w:szCs w:val="32"/>
                <w:highlight w:val="none"/>
                <w:lang w:val="en-US" w:eastAsia="zh-CN"/>
              </w:rPr>
              <w:t>支持依据</w:t>
            </w:r>
            <w:r>
              <w:rPr>
                <w:rFonts w:hint="eastAsia" w:ascii="楷体_GB2312" w:hAnsi="楷体_GB2312" w:eastAsia="楷体_GB2312" w:cs="楷体_GB2312"/>
                <w:b/>
                <w:bCs/>
                <w:color w:val="auto"/>
                <w:sz w:val="32"/>
                <w:szCs w:val="32"/>
                <w:highlight w:val="none"/>
                <w:lang w:val="en-US" w:eastAsia="zh"/>
              </w:rPr>
              <w:t>/理由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00" w:hRule="atLeast"/>
          <w:jc w:val="center"/>
        </w:trPr>
        <w:tc>
          <w:tcPr>
            <w:tcW w:w="188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重大技术装备</w:t>
            </w: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自治区认定重点领域首台（套）重大装备</w:t>
            </w:r>
          </w:p>
        </w:tc>
        <w:tc>
          <w:tcPr>
            <w:tcW w:w="4491" w:type="dxa"/>
            <w:tcMar>
              <w:top w:w="60" w:type="dxa"/>
              <w:left w:w="120" w:type="dxa"/>
              <w:bottom w:w="30" w:type="dxa"/>
              <w:right w:w="120" w:type="dxa"/>
            </w:tcMar>
            <w:vAlign w:val="center"/>
          </w:tcPr>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0" w:beforeAutospacing="0" w:after="0" w:afterAutospacing="0" w:line="600" w:lineRule="exact"/>
              <w:ind w:left="0" w:right="0" w:firstLine="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auto"/>
                <w:kern w:val="0"/>
                <w:sz w:val="24"/>
                <w:szCs w:val="24"/>
                <w:highlight w:val="none"/>
              </w:rPr>
              <w:t>按照《内蒙古自治区技术装备首台套关键零部件及新材料首批次认定管理办法》（内工信装工字〔2025〕434号）文件，自治区鼓励各盟市制定支持奖励政策。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90" w:hRule="atLeast"/>
          <w:jc w:val="center"/>
        </w:trPr>
        <w:tc>
          <w:tcPr>
            <w:tcW w:w="1885"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单项冠军</w:t>
            </w: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获国家级制造业单项冠军企业</w:t>
            </w:r>
          </w:p>
        </w:tc>
        <w:tc>
          <w:tcPr>
            <w:tcW w:w="4491"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lang w:eastAsia="zh"/>
              </w:rPr>
            </w:pPr>
            <w:r>
              <w:rPr>
                <w:rFonts w:hint="eastAsia" w:ascii="仿宋_GB2312" w:hAnsi="仿宋_GB2312" w:eastAsia="仿宋_GB2312" w:cs="仿宋_GB2312"/>
                <w:color w:val="auto"/>
                <w:sz w:val="24"/>
                <w:szCs w:val="24"/>
                <w:highlight w:val="none"/>
                <w:lang w:eastAsia="zh"/>
              </w:rPr>
              <w:t>对</w:t>
            </w:r>
            <w:r>
              <w:rPr>
                <w:rFonts w:hint="eastAsia" w:ascii="仿宋_GB2312" w:hAnsi="仿宋_GB2312" w:eastAsia="仿宋_GB2312" w:cs="仿宋_GB2312"/>
                <w:color w:val="auto"/>
                <w:sz w:val="24"/>
                <w:szCs w:val="24"/>
                <w:highlight w:val="none"/>
                <w:lang w:eastAsia="zh-CN"/>
              </w:rPr>
              <w:t>工业和信息化部</w:t>
            </w:r>
            <w:r>
              <w:rPr>
                <w:rFonts w:hint="eastAsia" w:ascii="仿宋_GB2312" w:hAnsi="仿宋_GB2312" w:eastAsia="仿宋_GB2312" w:cs="仿宋_GB2312"/>
                <w:color w:val="auto"/>
                <w:sz w:val="24"/>
                <w:szCs w:val="24"/>
                <w:highlight w:val="none"/>
                <w:lang w:eastAsia="zh"/>
              </w:rPr>
              <w:t>认定的制造业“单项冠军”示范企业</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eastAsia="zh"/>
              </w:rPr>
              <w:t>培育企业</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eastAsia="zh"/>
              </w:rPr>
              <w:t>单项冠军产品”，给予企业一次性奖励。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79" w:hRule="atLeast"/>
          <w:jc w:val="center"/>
        </w:trPr>
        <w:tc>
          <w:tcPr>
            <w:tcW w:w="1885" w:type="dxa"/>
            <w:vMerge w:val="continue"/>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rightChars="0"/>
              <w:jc w:val="center"/>
              <w:textAlignment w:val="auto"/>
              <w:rPr>
                <w:rFonts w:hint="default"/>
                <w:sz w:val="24"/>
                <w:szCs w:val="24"/>
              </w:rPr>
            </w:pP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right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获自治区级制造业单项冠军企业</w:t>
            </w:r>
          </w:p>
        </w:tc>
        <w:tc>
          <w:tcPr>
            <w:tcW w:w="4491"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对内蒙古自治区工业和信息化厅认定的制造业单项冠军企业（产品</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，给予一次性奖励。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42" w:hRule="atLeast"/>
          <w:jc w:val="center"/>
        </w:trPr>
        <w:tc>
          <w:tcPr>
            <w:tcW w:w="1885"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优质中小企业</w:t>
            </w: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首次获评自治区“专精特新”中小企业</w:t>
            </w:r>
          </w:p>
        </w:tc>
        <w:tc>
          <w:tcPr>
            <w:tcW w:w="4491"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《内蒙古自治区制造业高质量发展专项资金管理办法&gt;的通知》（内工信投规字</w:t>
            </w:r>
            <w:r>
              <w:rPr>
                <w:rFonts w:hint="eastAsia" w:ascii="仿宋_GB2312" w:hAnsi="仿宋_GB2312" w:eastAsia="仿宋_GB2312" w:cs="仿宋_GB2312"/>
                <w:color w:val="auto"/>
                <w:sz w:val="24"/>
                <w:szCs w:val="24"/>
                <w:highlight w:val="none"/>
                <w:lang w:eastAsia="zh-CN"/>
              </w:rPr>
              <w:t>〔2025〕545号</w:t>
            </w:r>
            <w:r>
              <w:rPr>
                <w:rFonts w:hint="eastAsia" w:ascii="仿宋_GB2312" w:hAnsi="仿宋_GB2312" w:eastAsia="仿宋_GB2312" w:cs="仿宋_GB2312"/>
                <w:color w:val="auto"/>
                <w:sz w:val="24"/>
                <w:szCs w:val="24"/>
                <w:highlight w:val="none"/>
              </w:rPr>
              <w:t>）（五）梯度培育优质企业相关内容“支持优质中小企业梯度培育体系构建，大力培育创新型、专精特新中小企业、</w:t>
            </w:r>
            <w:r>
              <w:rPr>
                <w:rFonts w:hint="eastAsia" w:ascii="仿宋_GB2312" w:hAnsi="仿宋_GB2312" w:eastAsia="仿宋_GB2312" w:cs="仿宋_GB2312"/>
                <w:color w:val="auto"/>
                <w:sz w:val="24"/>
                <w:szCs w:val="24"/>
                <w:highlight w:val="none"/>
                <w:lang w:eastAsia="zh-CN"/>
              </w:rPr>
              <w:t>‘小巨人’企业</w:t>
            </w:r>
            <w:r>
              <w:rPr>
                <w:rFonts w:hint="eastAsia" w:ascii="仿宋_GB2312" w:hAnsi="仿宋_GB2312" w:eastAsia="仿宋_GB2312" w:cs="仿宋_GB2312"/>
                <w:color w:val="auto"/>
                <w:sz w:val="24"/>
                <w:szCs w:val="24"/>
                <w:highlight w:val="none"/>
              </w:rPr>
              <w:t>、制造业单项冠军企业，积极培育瞪羚企业、独角兽企业，提高制造业细分行业产品研发和生产水平。”《自治区2024年坚持稳中求进以进促稳推动产业高质量发展政策清单的通知》（内政发</w:t>
            </w:r>
            <w:r>
              <w:rPr>
                <w:rFonts w:hint="eastAsia" w:ascii="仿宋_GB2312" w:hAnsi="仿宋_GB2312" w:eastAsia="仿宋_GB2312" w:cs="仿宋_GB2312"/>
                <w:color w:val="auto"/>
                <w:sz w:val="24"/>
                <w:szCs w:val="24"/>
                <w:highlight w:val="none"/>
                <w:lang w:eastAsia="zh-CN"/>
              </w:rPr>
              <w:t>〔2024〕6号</w:t>
            </w:r>
            <w:r>
              <w:rPr>
                <w:rFonts w:hint="eastAsia" w:ascii="仿宋_GB2312" w:hAnsi="仿宋_GB2312" w:eastAsia="仿宋_GB2312" w:cs="仿宋_GB2312"/>
                <w:color w:val="auto"/>
                <w:sz w:val="24"/>
                <w:szCs w:val="24"/>
                <w:highlight w:val="none"/>
              </w:rPr>
              <w:t>）第47条相关内容对自治区认定的创新型中小企业、专精特新中小企业和</w:t>
            </w:r>
            <w:r>
              <w:rPr>
                <w:rFonts w:hint="eastAsia" w:ascii="仿宋_GB2312" w:hAnsi="仿宋_GB2312" w:eastAsia="仿宋_GB2312" w:cs="仿宋_GB2312"/>
                <w:color w:val="auto"/>
                <w:sz w:val="24"/>
                <w:szCs w:val="24"/>
                <w:highlight w:val="none"/>
                <w:lang w:eastAsia="zh-CN"/>
              </w:rPr>
              <w:t>“小巨人”企业</w:t>
            </w:r>
            <w:r>
              <w:rPr>
                <w:rFonts w:hint="eastAsia" w:ascii="仿宋_GB2312" w:hAnsi="仿宋_GB2312" w:eastAsia="仿宋_GB2312" w:cs="仿宋_GB2312"/>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5" w:hRule="atLeast"/>
          <w:jc w:val="center"/>
        </w:trPr>
        <w:tc>
          <w:tcPr>
            <w:tcW w:w="1885" w:type="dxa"/>
            <w:vMerge w:val="continue"/>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首次获评国家级专精特新“小巨人”企业</w:t>
            </w:r>
          </w:p>
        </w:tc>
        <w:tc>
          <w:tcPr>
            <w:tcW w:w="4491" w:type="dxa"/>
            <w:vMerge w:val="continue"/>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25" w:hRule="atLeast"/>
          <w:jc w:val="center"/>
        </w:trPr>
        <w:tc>
          <w:tcPr>
            <w:tcW w:w="188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电信普遍服务</w:t>
            </w:r>
          </w:p>
        </w:tc>
        <w:tc>
          <w:tcPr>
            <w:tcW w:w="2303"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边疆4G</w:t>
            </w:r>
            <w:r>
              <w:rPr>
                <w:rFonts w:hint="eastAsia" w:ascii="仿宋_GB2312" w:hAnsi="仿宋_GB2312" w:eastAsia="仿宋_GB2312" w:cs="仿宋_GB2312"/>
                <w:color w:val="auto"/>
                <w:sz w:val="24"/>
                <w:szCs w:val="24"/>
                <w:highlight w:val="none"/>
                <w:lang w:eastAsia="zh"/>
              </w:rPr>
              <w:t>/5G</w:t>
            </w:r>
            <w:r>
              <w:rPr>
                <w:rFonts w:hint="eastAsia" w:ascii="仿宋_GB2312" w:hAnsi="仿宋_GB2312" w:eastAsia="仿宋_GB2312" w:cs="仿宋_GB2312"/>
                <w:color w:val="auto"/>
                <w:sz w:val="24"/>
                <w:szCs w:val="24"/>
                <w:highlight w:val="none"/>
              </w:rPr>
              <w:t>基站配套补助</w:t>
            </w:r>
          </w:p>
        </w:tc>
        <w:tc>
          <w:tcPr>
            <w:tcW w:w="4491"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自治区通信管理局每年度向各盟市</w:t>
            </w:r>
            <w:r>
              <w:rPr>
                <w:rFonts w:hint="eastAsia" w:ascii="仿宋_GB2312" w:hAnsi="仿宋_GB2312" w:eastAsia="仿宋_GB2312" w:cs="仿宋_GB2312"/>
                <w:color w:val="auto"/>
                <w:sz w:val="24"/>
                <w:szCs w:val="24"/>
                <w:highlight w:val="none"/>
                <w:lang w:eastAsia="zh-CN"/>
              </w:rPr>
              <w:t>发布</w:t>
            </w:r>
            <w:r>
              <w:rPr>
                <w:rFonts w:hint="eastAsia" w:ascii="仿宋_GB2312" w:hAnsi="仿宋_GB2312" w:eastAsia="仿宋_GB2312" w:cs="仿宋_GB2312"/>
                <w:color w:val="auto"/>
                <w:sz w:val="24"/>
                <w:szCs w:val="24"/>
                <w:highlight w:val="none"/>
              </w:rPr>
              <w:t>关于电信普遍服务边疆项目补助配套资金的文件要求</w:t>
            </w:r>
            <w:r>
              <w:rPr>
                <w:rFonts w:hint="eastAsia" w:ascii="仿宋_GB2312" w:hAnsi="仿宋_GB2312" w:eastAsia="仿宋_GB2312" w:cs="仿宋_GB2312"/>
                <w:color w:val="auto"/>
                <w:sz w:val="24"/>
                <w:szCs w:val="24"/>
                <w:highlight w:val="none"/>
                <w:lang w:eastAsia="zh-CN"/>
              </w:rPr>
              <w:t>。</w:t>
            </w:r>
          </w:p>
        </w:tc>
      </w:tr>
    </w:tbl>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4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3.兑付程序</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4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申报条件：企业为呼伦贝尔市辖区内注册、正常经营的工业企业；近3年无违法违规记录；相关认定、贯标、项目建设已完成并取得有效证明文件</w:t>
      </w:r>
      <w:r>
        <w:rPr>
          <w:rFonts w:hint="eastAsia" w:ascii="仿宋_GB2312" w:hAnsi="仿宋_GB2312" w:eastAsia="仿宋_GB2312" w:cs="仿宋_GB2312"/>
          <w:color w:val="auto"/>
          <w:sz w:val="32"/>
          <w:szCs w:val="32"/>
          <w:highlight w:val="none"/>
          <w:lang w:eastAsia="zh-CN"/>
        </w:rPr>
        <w:t>。</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4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申报材料：企业申请报告、营业执照、相关认定证书/批复文件、</w:t>
      </w:r>
      <w:r>
        <w:rPr>
          <w:rFonts w:hint="eastAsia" w:ascii="仿宋_GB2312" w:hAnsi="仿宋_GB2312" w:eastAsia="仿宋_GB2312" w:cs="仿宋_GB2312"/>
          <w:color w:val="auto"/>
          <w:sz w:val="32"/>
          <w:szCs w:val="32"/>
          <w:highlight w:val="none"/>
          <w:lang w:val="en-US" w:eastAsia="zh-CN"/>
        </w:rPr>
        <w:t>上级惠企直达财政资金到款凭证、</w:t>
      </w:r>
      <w:r>
        <w:rPr>
          <w:rFonts w:hint="eastAsia" w:ascii="仿宋_GB2312" w:hAnsi="仿宋_GB2312" w:eastAsia="仿宋_GB2312" w:cs="仿宋_GB2312"/>
          <w:color w:val="auto"/>
          <w:sz w:val="32"/>
          <w:szCs w:val="32"/>
          <w:highlight w:val="none"/>
        </w:rPr>
        <w:t>项目投资凭证、审计报告等佐证材料；</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审核流程：企业向市工信局申报→市工信局审核材料→实地核查（必要时）→集体评审→确定支持对象及金额；</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公示与拨付：对拟支持对象公示5个工作日，无异议后一次性拨付资金；</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5</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绩效评价：资金使用情况纳入企业绩效评价，作为后续支持依据。</w:t>
      </w:r>
    </w:p>
    <w:p>
      <w:pPr>
        <w:pStyle w:val="3"/>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86" w:firstLineChars="200"/>
        <w:jc w:val="both"/>
        <w:textAlignment w:val="auto"/>
        <w:rPr>
          <w:rFonts w:hint="eastAsia" w:ascii="楷体_GB2312" w:hAnsi="楷体_GB2312" w:eastAsia="楷体_GB2312" w:cs="楷体_GB2312"/>
          <w:b/>
          <w:bCs/>
          <w:color w:val="auto"/>
          <w:spacing w:val="11"/>
          <w:sz w:val="32"/>
          <w:szCs w:val="32"/>
          <w:highlight w:val="none"/>
        </w:rPr>
      </w:pPr>
      <w:r>
        <w:rPr>
          <w:rFonts w:hint="eastAsia" w:ascii="楷体_GB2312" w:hAnsi="楷体_GB2312" w:eastAsia="楷体_GB2312" w:cs="楷体_GB2312"/>
          <w:b/>
          <w:bCs/>
          <w:color w:val="auto"/>
          <w:spacing w:val="11"/>
          <w:kern w:val="44"/>
          <w:sz w:val="32"/>
          <w:szCs w:val="32"/>
          <w:highlight w:val="none"/>
          <w:lang w:eastAsia="zh-CN" w:bidi="ar-SA"/>
        </w:rPr>
        <w:t>（</w:t>
      </w:r>
      <w:r>
        <w:rPr>
          <w:rFonts w:hint="eastAsia" w:ascii="楷体_GB2312" w:hAnsi="楷体_GB2312" w:eastAsia="楷体_GB2312" w:cs="楷体_GB2312"/>
          <w:b/>
          <w:bCs/>
          <w:color w:val="auto"/>
          <w:spacing w:val="11"/>
          <w:kern w:val="44"/>
          <w:sz w:val="32"/>
          <w:szCs w:val="32"/>
          <w:highlight w:val="none"/>
          <w:lang w:val="en-US" w:eastAsia="zh-CN" w:bidi="ar-SA"/>
        </w:rPr>
        <w:t>三</w:t>
      </w:r>
      <w:r>
        <w:rPr>
          <w:rFonts w:hint="eastAsia" w:ascii="楷体_GB2312" w:hAnsi="楷体_GB2312" w:eastAsia="楷体_GB2312" w:cs="楷体_GB2312"/>
          <w:b/>
          <w:bCs/>
          <w:color w:val="auto"/>
          <w:spacing w:val="11"/>
          <w:kern w:val="44"/>
          <w:sz w:val="32"/>
          <w:szCs w:val="32"/>
          <w:highlight w:val="none"/>
          <w:lang w:eastAsia="zh-CN" w:bidi="ar-SA"/>
        </w:rPr>
        <w:t>）</w:t>
      </w:r>
      <w:r>
        <w:rPr>
          <w:rFonts w:hint="eastAsia" w:ascii="楷体_GB2312" w:hAnsi="楷体_GB2312" w:eastAsia="楷体_GB2312" w:cs="楷体_GB2312"/>
          <w:b/>
          <w:bCs/>
          <w:color w:val="auto"/>
          <w:spacing w:val="11"/>
          <w:sz w:val="32"/>
          <w:szCs w:val="32"/>
          <w:highlight w:val="none"/>
        </w:rPr>
        <w:t>工业领域产业发展路径研究</w:t>
      </w:r>
      <w:r>
        <w:rPr>
          <w:rFonts w:hint="eastAsia" w:ascii="楷体_GB2312" w:hAnsi="楷体_GB2312" w:eastAsia="楷体_GB2312" w:cs="楷体_GB2312"/>
          <w:b/>
          <w:bCs/>
          <w:color w:val="auto"/>
          <w:spacing w:val="11"/>
          <w:sz w:val="32"/>
          <w:szCs w:val="32"/>
          <w:highlight w:val="none"/>
          <w:lang w:val="en-US" w:eastAsia="zh-CN"/>
        </w:rPr>
        <w:t>方向</w:t>
      </w:r>
      <w:r>
        <w:rPr>
          <w:rFonts w:hint="eastAsia" w:ascii="楷体_GB2312" w:hAnsi="楷体_GB2312" w:eastAsia="楷体_GB2312" w:cs="楷体_GB2312"/>
          <w:b/>
          <w:bCs/>
          <w:color w:val="auto"/>
          <w:spacing w:val="11"/>
          <w:sz w:val="32"/>
          <w:szCs w:val="32"/>
          <w:highlight w:val="none"/>
        </w:rPr>
        <w:t>（年度预算</w:t>
      </w:r>
      <w:r>
        <w:rPr>
          <w:rFonts w:hint="eastAsia" w:ascii="楷体_GB2312" w:hAnsi="楷体_GB2312" w:eastAsia="楷体_GB2312" w:cs="楷体_GB2312"/>
          <w:b/>
          <w:bCs/>
          <w:color w:val="auto"/>
          <w:spacing w:val="11"/>
          <w:sz w:val="32"/>
          <w:szCs w:val="32"/>
          <w:highlight w:val="none"/>
          <w:lang w:val="en-US" w:eastAsia="zh-CN"/>
        </w:rPr>
        <w:t>400</w:t>
      </w:r>
      <w:r>
        <w:rPr>
          <w:rFonts w:hint="eastAsia" w:ascii="楷体_GB2312" w:hAnsi="楷体_GB2312" w:eastAsia="楷体_GB2312" w:cs="楷体_GB2312"/>
          <w:b/>
          <w:bCs/>
          <w:color w:val="auto"/>
          <w:spacing w:val="11"/>
          <w:sz w:val="32"/>
          <w:szCs w:val="32"/>
          <w:highlight w:val="none"/>
        </w:rPr>
        <w:t>万元）</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1.支持事项</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“五业协同”（煤炭、电力、新能源、有色金属、制造业）产业发展规划编制；</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工业经济高质量发展重大基础性项目前期工作（含可行性研究、论证评估等）；</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产业发展政策研究、课题调研及成果转化；</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《“十五五”全市有色金属矿产资源开发利用专项规划》编制（含环境影响评价、水资源论证）；</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5</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与国家科研院所合作，研究我市矿产资源在化工领域应用方向和技术。</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仿宋_GB2312" w:hAnsi="仿宋_GB2312" w:eastAsia="仿宋_GB2312" w:cs="仿宋_GB2312"/>
          <w:b/>
          <w:bCs/>
          <w:color w:val="auto"/>
          <w:sz w:val="32"/>
          <w:szCs w:val="32"/>
          <w:highlight w:val="none"/>
          <w:lang w:eastAsia="zh"/>
        </w:rPr>
      </w:pPr>
      <w:r>
        <w:rPr>
          <w:rFonts w:hint="eastAsia" w:ascii="仿宋_GB2312" w:hAnsi="仿宋_GB2312" w:eastAsia="仿宋_GB2312" w:cs="仿宋_GB2312"/>
          <w:b/>
          <w:bCs/>
          <w:color w:val="auto"/>
          <w:kern w:val="2"/>
          <w:sz w:val="32"/>
          <w:szCs w:val="32"/>
          <w:highlight w:val="none"/>
          <w:lang w:val="en-US" w:eastAsia="zh-CN" w:bidi="ar-SA"/>
        </w:rPr>
        <w:t>2.</w:t>
      </w:r>
      <w:r>
        <w:rPr>
          <w:rFonts w:hint="eastAsia" w:ascii="仿宋_GB2312" w:hAnsi="仿宋_GB2312" w:eastAsia="仿宋_GB2312" w:cs="仿宋_GB2312"/>
          <w:b/>
          <w:bCs/>
          <w:color w:val="auto"/>
          <w:sz w:val="32"/>
          <w:szCs w:val="32"/>
          <w:highlight w:val="none"/>
        </w:rPr>
        <w:t>支持</w:t>
      </w:r>
      <w:r>
        <w:rPr>
          <w:rFonts w:hint="eastAsia" w:ascii="仿宋_GB2312" w:hAnsi="仿宋_GB2312" w:eastAsia="仿宋_GB2312" w:cs="仿宋_GB2312"/>
          <w:b/>
          <w:bCs/>
          <w:color w:val="auto"/>
          <w:sz w:val="32"/>
          <w:szCs w:val="32"/>
          <w:highlight w:val="none"/>
          <w:lang w:eastAsia="zh"/>
        </w:rPr>
        <w:t>依据及理由</w:t>
      </w:r>
    </w:p>
    <w:p>
      <w:pPr>
        <w:pStyle w:val="5"/>
        <w:keepNext w:val="0"/>
        <w:keepLines w:val="0"/>
        <w:pageBreakBefore w:val="0"/>
        <w:widowControl w:val="0"/>
        <w:kinsoku/>
        <w:wordWrap/>
        <w:overflowPunct/>
        <w:topLinePunct w:val="0"/>
        <w:autoSpaceDE/>
        <w:autoSpaceDN/>
        <w:bidi w:val="0"/>
        <w:adjustRightInd w:val="0"/>
        <w:snapToGrid/>
        <w:spacing w:before="0" w:after="0" w:line="576" w:lineRule="exact"/>
        <w:ind w:firstLine="642"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规划编制类：</w:t>
      </w:r>
      <w:r>
        <w:rPr>
          <w:rFonts w:hint="eastAsia" w:ascii="仿宋_GB2312" w:hAnsi="仿宋_GB2312" w:eastAsia="仿宋_GB2312" w:cs="仿宋_GB2312"/>
          <w:b w:val="0"/>
          <w:bCs w:val="0"/>
          <w:color w:val="auto"/>
          <w:sz w:val="32"/>
          <w:szCs w:val="32"/>
          <w:highlight w:val="none"/>
          <w:lang w:val="en-US" w:eastAsia="zh-CN"/>
        </w:rPr>
        <w:t>①</w:t>
      </w:r>
      <w:r>
        <w:rPr>
          <w:rFonts w:hint="eastAsia" w:ascii="仿宋_GB2312" w:hAnsi="仿宋_GB2312" w:eastAsia="仿宋_GB2312" w:cs="仿宋_GB2312"/>
          <w:b w:val="0"/>
          <w:bCs w:val="0"/>
          <w:color w:val="auto"/>
          <w:sz w:val="32"/>
          <w:szCs w:val="32"/>
          <w:highlight w:val="none"/>
        </w:rPr>
        <w:t>普通产业规划：按实际合同金额的80%给予补助，单个规划项目最高补助</w:t>
      </w:r>
      <w:r>
        <w:rPr>
          <w:rFonts w:hint="eastAsia" w:ascii="仿宋_GB2312" w:hAnsi="仿宋_GB2312" w:eastAsia="仿宋_GB2312" w:cs="仿宋_GB2312"/>
          <w:b w:val="0"/>
          <w:bCs w:val="0"/>
          <w:color w:val="auto"/>
          <w:sz w:val="32"/>
          <w:szCs w:val="32"/>
          <w:highlight w:val="none"/>
          <w:lang w:val="en-US" w:eastAsia="zh-CN"/>
        </w:rPr>
        <w:t>1</w:t>
      </w:r>
      <w:r>
        <w:rPr>
          <w:rFonts w:hint="eastAsia" w:ascii="仿宋_GB2312" w:hAnsi="仿宋_GB2312" w:eastAsia="仿宋_GB2312" w:cs="仿宋_GB2312"/>
          <w:b w:val="0"/>
          <w:bCs w:val="0"/>
          <w:color w:val="auto"/>
          <w:sz w:val="32"/>
          <w:szCs w:val="32"/>
          <w:highlight w:val="none"/>
        </w:rPr>
        <w:t>00万元；</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rPr>
        <w:t>有色金属矿产资源开发利用专项规划：</w:t>
      </w:r>
      <w:r>
        <w:rPr>
          <w:rFonts w:hint="eastAsia" w:ascii="仿宋_GB2312" w:hAnsi="仿宋_GB2312" w:eastAsia="仿宋_GB2312" w:cs="仿宋_GB2312"/>
          <w:color w:val="auto"/>
          <w:sz w:val="32"/>
          <w:szCs w:val="32"/>
          <w:highlight w:val="none"/>
          <w:lang w:val="en-US" w:eastAsia="zh-CN"/>
        </w:rPr>
        <w:t>2026年计划</w:t>
      </w:r>
      <w:r>
        <w:rPr>
          <w:rFonts w:hint="eastAsia" w:ascii="仿宋_GB2312" w:hAnsi="仿宋_GB2312" w:eastAsia="仿宋_GB2312" w:cs="仿宋_GB2312"/>
          <w:color w:val="auto"/>
          <w:sz w:val="32"/>
          <w:szCs w:val="32"/>
          <w:highlight w:val="none"/>
        </w:rPr>
        <w:t>安排200万元，按实际合同金额据实补助</w:t>
      </w:r>
      <w:r>
        <w:rPr>
          <w:rFonts w:hint="eastAsia" w:ascii="仿宋_GB2312" w:hAnsi="仿宋_GB2312" w:eastAsia="仿宋_GB2312" w:cs="仿宋_GB2312"/>
          <w:color w:val="auto"/>
          <w:sz w:val="32"/>
          <w:szCs w:val="32"/>
          <w:highlight w:val="none"/>
          <w:lang w:eastAsia="zh-CN"/>
        </w:rPr>
        <w:t>。</w:t>
      </w:r>
    </w:p>
    <w:p>
      <w:pPr>
        <w:pStyle w:val="5"/>
        <w:keepNext w:val="0"/>
        <w:keepLines w:val="0"/>
        <w:pageBreakBefore w:val="0"/>
        <w:widowControl w:val="0"/>
        <w:kinsoku/>
        <w:wordWrap/>
        <w:overflowPunct/>
        <w:topLinePunct w:val="0"/>
        <w:autoSpaceDE/>
        <w:autoSpaceDN/>
        <w:bidi w:val="0"/>
        <w:adjustRightInd w:val="0"/>
        <w:snapToGrid/>
        <w:spacing w:before="0" w:after="0" w:line="576" w:lineRule="exact"/>
        <w:ind w:firstLine="642"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专项研究类：矿产资源</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化工领域应用研究：按实际合同金额据实补助；</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val="en-US" w:eastAsia="zh-CN" w:bidi="ar-SA"/>
        </w:rPr>
        <w:t>①</w:t>
      </w:r>
      <w:r>
        <w:rPr>
          <w:rFonts w:hint="eastAsia" w:ascii="仿宋_GB2312" w:hAnsi="仿宋_GB2312" w:eastAsia="仿宋_GB2312" w:cs="仿宋_GB2312"/>
          <w:color w:val="auto"/>
          <w:sz w:val="32"/>
          <w:szCs w:val="32"/>
          <w:highlight w:val="none"/>
        </w:rPr>
        <w:t>前期工作类：按项目前期费用（含可研、环评、安评等）的50%给予补助，单个项目最高补助200万元；</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val="en-US" w:eastAsia="zh-CN" w:bidi="ar-SA"/>
        </w:rPr>
        <w:t>②</w:t>
      </w:r>
      <w:r>
        <w:rPr>
          <w:rFonts w:hint="eastAsia" w:ascii="仿宋_GB2312" w:hAnsi="仿宋_GB2312" w:eastAsia="仿宋_GB2312" w:cs="仿宋_GB2312"/>
          <w:color w:val="auto"/>
          <w:sz w:val="32"/>
          <w:szCs w:val="32"/>
          <w:highlight w:val="none"/>
        </w:rPr>
        <w:t>研究课题类：按课题研究实际支出的70%给予补助，单个课题最高补助100万元。</w:t>
      </w:r>
    </w:p>
    <w:p>
      <w:pPr>
        <w:pStyle w:val="4"/>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kern w:val="2"/>
          <w:sz w:val="32"/>
          <w:szCs w:val="32"/>
          <w:highlight w:val="none"/>
          <w:lang w:val="en-US" w:eastAsia="zh-CN" w:bidi="ar-SA"/>
        </w:rPr>
        <w:t>3.</w:t>
      </w:r>
      <w:r>
        <w:rPr>
          <w:rFonts w:hint="eastAsia" w:ascii="仿宋_GB2312" w:hAnsi="仿宋_GB2312" w:eastAsia="仿宋_GB2312" w:cs="仿宋_GB2312"/>
          <w:b/>
          <w:bCs/>
          <w:color w:val="auto"/>
          <w:sz w:val="32"/>
          <w:szCs w:val="32"/>
          <w:highlight w:val="none"/>
        </w:rPr>
        <w:t>兑付程序</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申报主体：市工信局、</w:t>
      </w:r>
      <w:r>
        <w:rPr>
          <w:rFonts w:hint="eastAsia" w:ascii="仿宋_GB2312" w:hAnsi="仿宋_GB2312" w:eastAsia="仿宋_GB2312" w:cs="仿宋_GB2312"/>
          <w:color w:val="auto"/>
          <w:sz w:val="32"/>
          <w:szCs w:val="32"/>
          <w:highlight w:val="none"/>
          <w:lang w:val="en-US" w:eastAsia="zh-CN"/>
        </w:rPr>
        <w:t>能源局、</w:t>
      </w:r>
      <w:r>
        <w:rPr>
          <w:rFonts w:hint="eastAsia" w:ascii="仿宋_GB2312" w:hAnsi="仿宋_GB2312" w:eastAsia="仿宋_GB2312" w:cs="仿宋_GB2312"/>
          <w:color w:val="auto"/>
          <w:sz w:val="32"/>
          <w:szCs w:val="32"/>
          <w:highlight w:val="none"/>
        </w:rPr>
        <w:t>各旗市区工信部门；</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申报材料：申请报告、项目/课题实施方案、合作协议、费用预算表等；</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审核流程：申报单位向市工信局申报→市工信局组织专家评审→确定支持项目及补助金额→签订任务书；</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资金拨付：分两期拨付，签订任务书后拨付50%，项目/课题完成并通过验收后拨付剩余50%；</w:t>
      </w:r>
    </w:p>
    <w:p>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color w:val="auto"/>
          <w:w w:val="97"/>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验收管理：项目/课题完成后，由市工信局会同</w:t>
      </w:r>
      <w:r>
        <w:rPr>
          <w:rFonts w:hint="eastAsia" w:ascii="仿宋_GB2312" w:hAnsi="仿宋_GB2312" w:eastAsia="仿宋_GB2312" w:cs="仿宋_GB2312"/>
          <w:color w:val="auto"/>
          <w:sz w:val="32"/>
          <w:szCs w:val="32"/>
          <w:highlight w:val="none"/>
          <w:lang w:val="en-US" w:eastAsia="zh-CN"/>
        </w:rPr>
        <w:t>相关部门</w:t>
      </w:r>
      <w:r>
        <w:rPr>
          <w:rFonts w:hint="eastAsia" w:ascii="仿宋_GB2312" w:hAnsi="仿宋_GB2312" w:eastAsia="仿宋_GB2312" w:cs="仿宋_GB2312"/>
          <w:color w:val="auto"/>
          <w:sz w:val="32"/>
          <w:szCs w:val="32"/>
          <w:highlight w:val="none"/>
        </w:rPr>
        <w:t>组织验收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项目单位逾期未完成或验收不合格的，须按照市工</w:t>
      </w:r>
      <w:r>
        <w:rPr>
          <w:rFonts w:hint="eastAsia" w:ascii="仿宋_GB2312" w:hAnsi="仿宋_GB2312" w:eastAsia="仿宋_GB2312" w:cs="仿宋_GB2312"/>
          <w:color w:val="auto"/>
          <w:w w:val="97"/>
          <w:sz w:val="32"/>
          <w:szCs w:val="32"/>
          <w:highlight w:val="none"/>
          <w:lang w:val="en-US" w:eastAsia="zh-CN"/>
        </w:rPr>
        <w:t>信局要求的期限进行整改；整改后仍不合格的，收回已拨付的资金。</w:t>
      </w:r>
    </w:p>
    <w:p>
      <w:pPr>
        <w:pStyle w:val="3"/>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kern w:val="44"/>
          <w:sz w:val="32"/>
          <w:szCs w:val="32"/>
          <w:highlight w:val="none"/>
          <w:lang w:eastAsia="zh-CN" w:bidi="ar-SA"/>
        </w:rPr>
        <w:t>（</w:t>
      </w:r>
      <w:r>
        <w:rPr>
          <w:rFonts w:hint="eastAsia" w:ascii="楷体_GB2312" w:hAnsi="楷体_GB2312" w:eastAsia="楷体_GB2312" w:cs="楷体_GB2312"/>
          <w:b/>
          <w:bCs/>
          <w:color w:val="auto"/>
          <w:kern w:val="44"/>
          <w:sz w:val="32"/>
          <w:szCs w:val="32"/>
          <w:highlight w:val="none"/>
          <w:lang w:eastAsia="zh" w:bidi="ar-SA"/>
        </w:rPr>
        <w:t>四</w:t>
      </w:r>
      <w:r>
        <w:rPr>
          <w:rFonts w:hint="eastAsia" w:ascii="楷体_GB2312" w:hAnsi="楷体_GB2312" w:eastAsia="楷体_GB2312" w:cs="楷体_GB2312"/>
          <w:b/>
          <w:bCs/>
          <w:color w:val="auto"/>
          <w:kern w:val="44"/>
          <w:sz w:val="32"/>
          <w:szCs w:val="32"/>
          <w:highlight w:val="none"/>
          <w:lang w:eastAsia="zh-CN" w:bidi="ar-SA"/>
        </w:rPr>
        <w:t>）</w:t>
      </w:r>
      <w:r>
        <w:rPr>
          <w:rFonts w:hint="eastAsia" w:ascii="楷体_GB2312" w:hAnsi="楷体_GB2312" w:eastAsia="楷体_GB2312" w:cs="楷体_GB2312"/>
          <w:b/>
          <w:bCs/>
          <w:color w:val="auto"/>
          <w:sz w:val="32"/>
          <w:szCs w:val="32"/>
          <w:highlight w:val="none"/>
        </w:rPr>
        <w:t>产业转型升级引导资金</w:t>
      </w:r>
      <w:r>
        <w:rPr>
          <w:rFonts w:hint="eastAsia" w:ascii="楷体_GB2312" w:hAnsi="楷体_GB2312" w:eastAsia="楷体_GB2312" w:cs="楷体_GB2312"/>
          <w:b/>
          <w:bCs/>
          <w:color w:val="auto"/>
          <w:sz w:val="32"/>
          <w:szCs w:val="32"/>
          <w:highlight w:val="none"/>
          <w:lang w:val="en-US" w:eastAsia="zh-CN"/>
        </w:rPr>
        <w:t>方向</w:t>
      </w:r>
      <w:r>
        <w:rPr>
          <w:rFonts w:hint="eastAsia" w:ascii="楷体_GB2312" w:hAnsi="楷体_GB2312" w:eastAsia="楷体_GB2312" w:cs="楷体_GB2312"/>
          <w:b/>
          <w:bCs/>
          <w:color w:val="auto"/>
          <w:sz w:val="32"/>
          <w:szCs w:val="32"/>
          <w:highlight w:val="none"/>
        </w:rPr>
        <w:t>（年度预算</w:t>
      </w:r>
      <w:r>
        <w:rPr>
          <w:rFonts w:hint="eastAsia" w:ascii="楷体_GB2312" w:hAnsi="楷体_GB2312" w:eastAsia="楷体_GB2312" w:cs="楷体_GB2312"/>
          <w:b/>
          <w:bCs/>
          <w:color w:val="auto"/>
          <w:sz w:val="32"/>
          <w:szCs w:val="32"/>
          <w:highlight w:val="none"/>
          <w:lang w:eastAsia="zh"/>
        </w:rPr>
        <w:t>9</w:t>
      </w:r>
      <w:r>
        <w:rPr>
          <w:rFonts w:hint="eastAsia" w:ascii="楷体_GB2312" w:hAnsi="楷体_GB2312" w:eastAsia="楷体_GB2312" w:cs="楷体_GB2312"/>
          <w:b/>
          <w:bCs/>
          <w:color w:val="auto"/>
          <w:sz w:val="32"/>
          <w:szCs w:val="32"/>
          <w:highlight w:val="none"/>
        </w:rPr>
        <w:t>00万元）</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1.支持事项</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制造业智能化升级；</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default"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本质安全升级；</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乳制品产业高端化转型；</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08" w:firstLineChars="200"/>
        <w:jc w:val="both"/>
        <w:textAlignment w:val="auto"/>
        <w:rPr>
          <w:rFonts w:hint="eastAsia" w:ascii="仿宋_GB2312" w:hAnsi="仿宋_GB2312" w:eastAsia="仿宋_GB2312" w:cs="仿宋_GB2312"/>
          <w:b w:val="0"/>
          <w:color w:val="auto"/>
          <w:w w:val="95"/>
          <w:kern w:val="2"/>
          <w:sz w:val="32"/>
          <w:szCs w:val="32"/>
          <w:highlight w:val="none"/>
          <w:lang w:eastAsia="zh-CN" w:bidi="ar-SA"/>
        </w:rPr>
      </w:pPr>
      <w:r>
        <w:rPr>
          <w:rFonts w:hint="eastAsia" w:ascii="仿宋_GB2312" w:hAnsi="仿宋_GB2312" w:eastAsia="仿宋_GB2312" w:cs="仿宋_GB2312"/>
          <w:b w:val="0"/>
          <w:color w:val="auto"/>
          <w:w w:val="95"/>
          <w:kern w:val="2"/>
          <w:sz w:val="32"/>
          <w:szCs w:val="32"/>
          <w:highlight w:val="none"/>
          <w:lang w:eastAsia="zh-CN" w:bidi="ar-SA"/>
        </w:rPr>
        <w:t>（</w:t>
      </w:r>
      <w:r>
        <w:rPr>
          <w:rFonts w:hint="eastAsia" w:ascii="仿宋_GB2312" w:hAnsi="仿宋_GB2312" w:eastAsia="仿宋_GB2312" w:cs="仿宋_GB2312"/>
          <w:b w:val="0"/>
          <w:color w:val="auto"/>
          <w:w w:val="95"/>
          <w:kern w:val="2"/>
          <w:sz w:val="32"/>
          <w:szCs w:val="32"/>
          <w:highlight w:val="none"/>
          <w:lang w:val="en-US" w:eastAsia="zh-CN" w:bidi="ar-SA"/>
        </w:rPr>
        <w:t>4</w:t>
      </w:r>
      <w:r>
        <w:rPr>
          <w:rFonts w:hint="eastAsia" w:ascii="仿宋_GB2312" w:hAnsi="仿宋_GB2312" w:eastAsia="仿宋_GB2312" w:cs="仿宋_GB2312"/>
          <w:b w:val="0"/>
          <w:color w:val="auto"/>
          <w:w w:val="95"/>
          <w:kern w:val="2"/>
          <w:sz w:val="32"/>
          <w:szCs w:val="32"/>
          <w:highlight w:val="none"/>
          <w:lang w:eastAsia="zh-CN" w:bidi="ar-SA"/>
        </w:rPr>
        <w:t>）消费品工业“三品”（增品种、提品质、创品牌）转型；</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5</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服务型制造转型；</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60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eastAsia="zh"/>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6</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eastAsia="zh" w:bidi="ar-SA"/>
        </w:rPr>
        <w:t>先进制造业集群建设；</w:t>
      </w:r>
    </w:p>
    <w:p>
      <w:pPr>
        <w:pStyle w:val="10"/>
        <w:keepNext w:val="0"/>
        <w:keepLines w:val="0"/>
        <w:pageBreakBefore w:val="0"/>
        <w:widowControl w:val="0"/>
        <w:numPr>
          <w:ilvl w:val="0"/>
          <w:numId w:val="0"/>
        </w:numPr>
        <w:kinsoku/>
        <w:wordWrap/>
        <w:overflowPunct/>
        <w:topLinePunct w:val="0"/>
        <w:autoSpaceDE/>
        <w:autoSpaceDN/>
        <w:bidi w:val="0"/>
        <w:snapToGrid/>
        <w:spacing w:before="0" w:after="0" w:afterLines="0" w:line="600" w:lineRule="exact"/>
        <w:ind w:left="0" w:leftChars="0" w:firstLine="640" w:firstLineChars="200"/>
        <w:jc w:val="both"/>
        <w:textAlignment w:val="auto"/>
        <w:rPr>
          <w:rFonts w:hint="default"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eastAsia="zh" w:bidi="ar-SA"/>
        </w:rPr>
        <w:t>7</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生物制造产业升级。</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 w:bidi="ar-SA"/>
        </w:rPr>
      </w:pPr>
      <w:r>
        <w:rPr>
          <w:rFonts w:hint="eastAsia" w:ascii="仿宋_GB2312" w:hAnsi="仿宋_GB2312" w:eastAsia="仿宋_GB2312" w:cs="仿宋_GB2312"/>
          <w:b/>
          <w:bCs/>
          <w:color w:val="auto"/>
          <w:kern w:val="2"/>
          <w:sz w:val="32"/>
          <w:szCs w:val="32"/>
          <w:highlight w:val="none"/>
          <w:lang w:val="en-US" w:eastAsia="zh-CN" w:bidi="ar-SA"/>
        </w:rPr>
        <w:t>2.支持</w:t>
      </w:r>
      <w:r>
        <w:rPr>
          <w:rFonts w:hint="eastAsia" w:ascii="仿宋_GB2312" w:hAnsi="仿宋_GB2312" w:eastAsia="仿宋_GB2312" w:cs="仿宋_GB2312"/>
          <w:b/>
          <w:bCs/>
          <w:color w:val="auto"/>
          <w:kern w:val="2"/>
          <w:sz w:val="32"/>
          <w:szCs w:val="32"/>
          <w:highlight w:val="none"/>
          <w:lang w:val="en-US" w:eastAsia="zh" w:bidi="ar-SA"/>
        </w:rPr>
        <w:t>依据及理由</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30"/>
        <w:gridCol w:w="2740"/>
        <w:gridCol w:w="4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4" w:hRule="atLeast"/>
        </w:trPr>
        <w:tc>
          <w:tcPr>
            <w:tcW w:w="2130" w:type="dxa"/>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支持类别</w:t>
            </w:r>
          </w:p>
        </w:tc>
        <w:tc>
          <w:tcPr>
            <w:tcW w:w="2740" w:type="dxa"/>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具体事项</w:t>
            </w:r>
          </w:p>
        </w:tc>
        <w:tc>
          <w:tcPr>
            <w:tcW w:w="4175" w:type="dxa"/>
            <w:tcMar>
              <w:top w:w="60" w:type="dxa"/>
              <w:left w:w="120" w:type="dxa"/>
              <w:bottom w:w="30" w:type="dxa"/>
              <w:right w:w="120" w:type="dxa"/>
            </w:tcMar>
            <w:vAlign w:val="top"/>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jc w:val="center"/>
              <w:textAlignment w:val="auto"/>
              <w:rPr>
                <w:rFonts w:hint="eastAsia" w:ascii="楷体_GB2312" w:hAnsi="楷体_GB2312" w:eastAsia="楷体_GB2312" w:cs="楷体_GB2312"/>
                <w:b/>
                <w:bCs/>
                <w:color w:val="auto"/>
                <w:sz w:val="32"/>
                <w:szCs w:val="32"/>
                <w:highlight w:val="none"/>
                <w:lang w:eastAsia="zh"/>
              </w:rPr>
            </w:pPr>
            <w:r>
              <w:rPr>
                <w:rFonts w:hint="eastAsia" w:ascii="楷体_GB2312" w:hAnsi="楷体_GB2312" w:eastAsia="楷体_GB2312" w:cs="楷体_GB2312"/>
                <w:b/>
                <w:bCs/>
                <w:color w:val="auto"/>
                <w:sz w:val="32"/>
                <w:szCs w:val="32"/>
                <w:highlight w:val="none"/>
                <w:lang w:val="en-US" w:eastAsia="zh-CN"/>
              </w:rPr>
              <w:t>支持依据</w:t>
            </w:r>
            <w:r>
              <w:rPr>
                <w:rFonts w:hint="eastAsia" w:ascii="楷体_GB2312" w:hAnsi="楷体_GB2312" w:eastAsia="楷体_GB2312" w:cs="楷体_GB2312"/>
                <w:b/>
                <w:bCs/>
                <w:color w:val="auto"/>
                <w:sz w:val="32"/>
                <w:szCs w:val="32"/>
                <w:highlight w:val="none"/>
                <w:lang w:val="en-US" w:eastAsia="zh"/>
              </w:rPr>
              <w:t>/理由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1" w:hRule="atLeast"/>
        </w:trPr>
        <w:tc>
          <w:tcPr>
            <w:tcW w:w="2130"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智能化升级</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国家卓越级智能工厂</w:t>
            </w:r>
          </w:p>
        </w:tc>
        <w:tc>
          <w:tcPr>
            <w:tcW w:w="4175"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内蒙古自治区智能工厂梯度培育三年行动计划（2025</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2027年）内工信装工字〔2025〕184号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4" w:hRule="atLeast"/>
        </w:trPr>
        <w:tc>
          <w:tcPr>
            <w:tcW w:w="2130" w:type="dxa"/>
            <w:vMerge w:val="continue"/>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自治区先进级智能工厂</w:t>
            </w:r>
          </w:p>
        </w:tc>
        <w:tc>
          <w:tcPr>
            <w:tcW w:w="4175" w:type="dxa"/>
            <w:vMerge w:val="continue"/>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15" w:hRule="atLeast"/>
        </w:trPr>
        <w:tc>
          <w:tcPr>
            <w:tcW w:w="213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本质安全升级</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开展工艺设备安全诊断服务</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为贯彻落实《内蒙古自治区管行业必须管安全、管业务必须管安全、管生产经营必须管安全若干规定》《工业和信息化部关于进一步加强工业行业安全生产管理的指导意见》等要求，指导行业提升本质安全水平。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86" w:hRule="atLeast"/>
        </w:trPr>
        <w:tc>
          <w:tcPr>
            <w:tcW w:w="2130"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乳制品高端化转型</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获自治区资金支持的高附加值加工项目</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比照自治区支持乳制品加工企业发展高附加值固体乳制品政策，旨在激励企业高端化转型积极性，促进行业发展，设定</w:t>
            </w:r>
            <w:r>
              <w:rPr>
                <w:rFonts w:hint="eastAsia" w:ascii="仿宋_GB2312" w:hAnsi="仿宋_GB2312" w:eastAsia="仿宋_GB2312" w:cs="仿宋_GB2312"/>
                <w:color w:val="auto"/>
                <w:sz w:val="24"/>
                <w:szCs w:val="24"/>
                <w:highlight w:val="none"/>
                <w:lang w:eastAsia="zh"/>
              </w:rPr>
              <w:t>支持</w:t>
            </w:r>
            <w:r>
              <w:rPr>
                <w:rFonts w:hint="eastAsia" w:ascii="仿宋_GB2312" w:hAnsi="仿宋_GB2312" w:eastAsia="仿宋_GB2312" w:cs="仿宋_GB2312"/>
                <w:color w:val="auto"/>
                <w:sz w:val="24"/>
                <w:szCs w:val="24"/>
                <w:highlight w:val="none"/>
              </w:rPr>
              <w:t>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99" w:hRule="atLeast"/>
        </w:trPr>
        <w:tc>
          <w:tcPr>
            <w:tcW w:w="2130" w:type="dxa"/>
            <w:vMerge w:val="continue"/>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生鲜乳加工高附加值产品增量</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自治区推进奶产业高质量发展政策于2025年12月底到期，目前正在起草新政策。按照自治区工信厅向自治区政府提交审议稿提出配套资金方向。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55" w:hRule="atLeast"/>
        </w:trPr>
        <w:tc>
          <w:tcPr>
            <w:tcW w:w="2130" w:type="dxa"/>
            <w:shd w:val="clear" w:color="auto" w:fill="auto"/>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乳制品高端化转型（市本级资金）</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生鲜乳喷粉动态补贴</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自治区推进奶产业高质量发展政策于2025年12月底到期，目前正在起草新政策。按照自治区工信厅向自治区政府提交审议稿提出配套资金方向。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30" w:hRule="atLeast"/>
        </w:trPr>
        <w:tc>
          <w:tcPr>
            <w:tcW w:w="2130"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消费品“三品”转型</w:t>
            </w:r>
          </w:p>
        </w:tc>
        <w:tc>
          <w:tcPr>
            <w:tcW w:w="274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600" w:lineRule="exact"/>
              <w:ind w:left="0" w:right="0"/>
              <w:jc w:val="both"/>
              <w:textAlignment w:val="auto"/>
              <w:outlineLvl w:val="1"/>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工信部推广“数字三品”应用场景典型案例</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为贯彻落实《工业和信息化部办公厅关于分级打造中国消费名品方阵的通知》，旨在激励企业积极性，促进行业发展，设定</w:t>
            </w:r>
            <w:r>
              <w:rPr>
                <w:rFonts w:hint="eastAsia" w:ascii="仿宋_GB2312" w:hAnsi="仿宋_GB2312" w:eastAsia="仿宋_GB2312" w:cs="仿宋_GB2312"/>
                <w:color w:val="auto"/>
                <w:sz w:val="24"/>
                <w:szCs w:val="24"/>
                <w:highlight w:val="none"/>
                <w:lang w:eastAsia="zh"/>
              </w:rPr>
              <w:t>支持</w:t>
            </w:r>
            <w:r>
              <w:rPr>
                <w:rFonts w:hint="eastAsia" w:ascii="仿宋_GB2312" w:hAnsi="仿宋_GB2312" w:eastAsia="仿宋_GB2312" w:cs="仿宋_GB2312"/>
                <w:color w:val="auto"/>
                <w:sz w:val="24"/>
                <w:szCs w:val="24"/>
                <w:highlight w:val="none"/>
              </w:rPr>
              <w:t>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00" w:hRule="atLeast"/>
        </w:trPr>
        <w:tc>
          <w:tcPr>
            <w:tcW w:w="2130" w:type="dxa"/>
            <w:vMerge w:val="continue"/>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进入工信部“中国消费名品名单”“中国消费名品成长企业名单”</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为贯彻落实《工业和信息化部办公厅关于分级打造中国消费名品方阵的通知》，旨在激励企业积极性，促进行业发展，设定</w:t>
            </w:r>
            <w:r>
              <w:rPr>
                <w:rFonts w:hint="eastAsia" w:ascii="仿宋_GB2312" w:hAnsi="仿宋_GB2312" w:eastAsia="仿宋_GB2312" w:cs="仿宋_GB2312"/>
                <w:color w:val="auto"/>
                <w:sz w:val="24"/>
                <w:szCs w:val="24"/>
                <w:highlight w:val="none"/>
                <w:lang w:eastAsia="zh"/>
              </w:rPr>
              <w:t>支持</w:t>
            </w:r>
            <w:r>
              <w:rPr>
                <w:rFonts w:hint="eastAsia" w:ascii="仿宋_GB2312" w:hAnsi="仿宋_GB2312" w:eastAsia="仿宋_GB2312" w:cs="仿宋_GB2312"/>
                <w:color w:val="auto"/>
                <w:sz w:val="24"/>
                <w:szCs w:val="24"/>
                <w:highlight w:val="none"/>
              </w:rPr>
              <w:t>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5" w:hRule="atLeast"/>
        </w:trPr>
        <w:tc>
          <w:tcPr>
            <w:tcW w:w="2130" w:type="dxa"/>
            <w:vMerge w:val="restart"/>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服务型制造转型</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工信部认定“国家级”工业设计中心</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比照自治区支持企业设立工业设计中心奖励政策，旨在激励企业向服务型制造转型积极性，设定</w:t>
            </w:r>
            <w:r>
              <w:rPr>
                <w:rFonts w:hint="eastAsia" w:ascii="仿宋_GB2312" w:hAnsi="仿宋_GB2312" w:eastAsia="仿宋_GB2312" w:cs="仿宋_GB2312"/>
                <w:color w:val="auto"/>
                <w:sz w:val="24"/>
                <w:szCs w:val="24"/>
                <w:highlight w:val="none"/>
                <w:lang w:eastAsia="zh"/>
              </w:rPr>
              <w:t>支持</w:t>
            </w:r>
            <w:r>
              <w:rPr>
                <w:rFonts w:hint="eastAsia" w:ascii="仿宋_GB2312" w:hAnsi="仿宋_GB2312" w:eastAsia="仿宋_GB2312" w:cs="仿宋_GB2312"/>
                <w:color w:val="auto"/>
                <w:sz w:val="24"/>
                <w:szCs w:val="24"/>
                <w:highlight w:val="none"/>
              </w:rPr>
              <w:t>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70" w:hRule="atLeast"/>
        </w:trPr>
        <w:tc>
          <w:tcPr>
            <w:tcW w:w="2130" w:type="dxa"/>
            <w:vMerge w:val="continue"/>
            <w:tcMar>
              <w:top w:w="60" w:type="dxa"/>
              <w:left w:w="120" w:type="dxa"/>
              <w:bottom w:w="30" w:type="dxa"/>
              <w:right w:w="120" w:type="dxa"/>
            </w:tcMa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自治区工信厅认定“自治区级”工业设计中心</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比照自治区支持企业设立工业设计中心奖励政策，旨在激励企业向服务型制造转型积极性，设定</w:t>
            </w:r>
            <w:r>
              <w:rPr>
                <w:rFonts w:hint="eastAsia" w:ascii="仿宋_GB2312" w:hAnsi="仿宋_GB2312" w:eastAsia="仿宋_GB2312" w:cs="仿宋_GB2312"/>
                <w:color w:val="auto"/>
                <w:sz w:val="24"/>
                <w:szCs w:val="24"/>
                <w:highlight w:val="none"/>
                <w:lang w:eastAsia="zh"/>
              </w:rPr>
              <w:t>支持</w:t>
            </w:r>
            <w:r>
              <w:rPr>
                <w:rFonts w:hint="eastAsia" w:ascii="仿宋_GB2312" w:hAnsi="仿宋_GB2312" w:eastAsia="仿宋_GB2312" w:cs="仿宋_GB2312"/>
                <w:color w:val="auto"/>
                <w:sz w:val="24"/>
                <w:szCs w:val="24"/>
                <w:highlight w:val="none"/>
              </w:rPr>
              <w:t>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60" w:hRule="atLeast"/>
        </w:trPr>
        <w:tc>
          <w:tcPr>
            <w:tcW w:w="213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生物制造产业升级</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对入选国家颠覆</w:t>
            </w:r>
            <w:r>
              <w:rPr>
                <w:rFonts w:hint="eastAsia" w:ascii="仿宋_GB2312" w:hAnsi="仿宋_GB2312" w:eastAsia="仿宋_GB2312" w:cs="仿宋_GB2312"/>
                <w:color w:val="auto"/>
                <w:sz w:val="24"/>
                <w:szCs w:val="24"/>
                <w:highlight w:val="none"/>
              </w:rPr>
              <w:t>性技术库并实现产业化的项目</w:t>
            </w:r>
            <w:r>
              <w:rPr>
                <w:rFonts w:hint="eastAsia" w:ascii="仿宋_GB2312" w:hAnsi="仿宋_GB2312" w:eastAsia="仿宋_GB2312" w:cs="仿宋_GB2312"/>
                <w:color w:val="auto"/>
                <w:sz w:val="24"/>
                <w:szCs w:val="24"/>
                <w:highlight w:val="none"/>
                <w:lang w:val="en-US" w:eastAsia="zh-CN"/>
              </w:rPr>
              <w:t>给予支持</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lang w:eastAsia="zh"/>
              </w:rPr>
            </w:pPr>
            <w:r>
              <w:rPr>
                <w:rFonts w:hint="eastAsia" w:ascii="仿宋_GB2312" w:hAnsi="仿宋_GB2312" w:eastAsia="仿宋_GB2312" w:cs="仿宋_GB2312"/>
                <w:color w:val="auto"/>
                <w:sz w:val="24"/>
                <w:szCs w:val="24"/>
                <w:highlight w:val="none"/>
                <w:lang w:eastAsia="zh"/>
              </w:rPr>
              <w:t>自治区正在研究出台支持生物制造产业发展政策，该项目为国家和自治区重点支持方向。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86" w:hRule="atLeast"/>
        </w:trPr>
        <w:tc>
          <w:tcPr>
            <w:tcW w:w="213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生物制造产业升级</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对入选工信部生物制造标志性产品的项目，给予</w:t>
            </w:r>
            <w:r>
              <w:rPr>
                <w:rFonts w:hint="eastAsia" w:ascii="仿宋_GB2312" w:hAnsi="仿宋_GB2312" w:eastAsia="仿宋_GB2312" w:cs="仿宋_GB2312"/>
                <w:color w:val="auto"/>
                <w:sz w:val="24"/>
                <w:szCs w:val="24"/>
                <w:highlight w:val="none"/>
                <w:lang w:eastAsia="zh-CN"/>
              </w:rPr>
              <w:t>支持</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
              </w:rPr>
              <w:t>自治区正在研究出台支持生物制造产业发展政策，该项目为国家和自治区重点支持方向。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246" w:hRule="atLeast"/>
        </w:trPr>
        <w:tc>
          <w:tcPr>
            <w:tcW w:w="213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firstLine="0" w:firstLineChars="0"/>
              <w:jc w:val="center"/>
              <w:textAlignment w:val="auto"/>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b w:val="0"/>
                <w:color w:val="000000"/>
                <w:kern w:val="2"/>
                <w:sz w:val="24"/>
                <w:szCs w:val="24"/>
                <w:highlight w:val="none"/>
                <w:lang w:eastAsia="zh" w:bidi="ar-SA"/>
              </w:rPr>
              <w:t>先进制造业集群建设</w:t>
            </w:r>
          </w:p>
        </w:tc>
        <w:tc>
          <w:tcPr>
            <w:tcW w:w="2740"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firstLine="0" w:firstLineChars="0"/>
              <w:jc w:val="center"/>
              <w:textAlignment w:val="auto"/>
              <w:rPr>
                <w:rFonts w:hint="eastAsia" w:ascii="仿宋_GB2312" w:hAnsi="仿宋_GB2312" w:eastAsia="仿宋_GB2312" w:cs="仿宋_GB2312"/>
                <w:color w:val="000000"/>
                <w:sz w:val="24"/>
                <w:szCs w:val="24"/>
                <w:highlight w:val="none"/>
                <w:lang w:eastAsia="zh"/>
              </w:rPr>
            </w:pPr>
            <w:r>
              <w:rPr>
                <w:rFonts w:hint="eastAsia" w:ascii="仿宋_GB2312" w:hAnsi="仿宋_GB2312" w:eastAsia="仿宋_GB2312" w:cs="仿宋_GB2312"/>
                <w:color w:val="000000"/>
                <w:sz w:val="24"/>
                <w:szCs w:val="24"/>
                <w:highlight w:val="none"/>
                <w:lang w:eastAsia="zh"/>
              </w:rPr>
              <w:t>自治区级</w:t>
            </w:r>
            <w:r>
              <w:rPr>
                <w:rFonts w:hint="eastAsia" w:ascii="仿宋_GB2312" w:hAnsi="仿宋_GB2312" w:eastAsia="仿宋_GB2312" w:cs="仿宋_GB2312"/>
                <w:b w:val="0"/>
                <w:color w:val="000000"/>
                <w:kern w:val="2"/>
                <w:sz w:val="24"/>
                <w:szCs w:val="24"/>
                <w:highlight w:val="none"/>
                <w:lang w:eastAsia="zh" w:bidi="ar-SA"/>
              </w:rPr>
              <w:t>先进制造业集群、呼伦贝尔市级先进制造业集群</w:t>
            </w:r>
          </w:p>
        </w:tc>
        <w:tc>
          <w:tcPr>
            <w:tcW w:w="4175" w:type="dxa"/>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firstLine="0" w:firstLineChars="0"/>
              <w:jc w:val="both"/>
              <w:textAlignment w:val="auto"/>
              <w:rPr>
                <w:rFonts w:hint="eastAsia" w:ascii="仿宋_GB2312" w:hAnsi="仿宋_GB2312" w:eastAsia="仿宋_GB2312" w:cs="仿宋_GB2312"/>
                <w:color w:val="auto"/>
                <w:sz w:val="24"/>
                <w:szCs w:val="24"/>
                <w:highlight w:val="none"/>
                <w:lang w:eastAsia="zh"/>
              </w:rPr>
            </w:pP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eastAsia" w:ascii="仿宋_GB2312" w:hAnsi="仿宋_GB2312"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p>
        </w:tc>
      </w:tr>
    </w:tbl>
    <w:p>
      <w:pPr>
        <w:pStyle w:val="10"/>
        <w:keepNext w:val="0"/>
        <w:keepLines w:val="0"/>
        <w:pageBreakBefore w:val="0"/>
        <w:widowControl w:val="0"/>
        <w:kinsoku/>
        <w:wordWrap/>
        <w:overflowPunct/>
        <w:topLinePunct w:val="0"/>
        <w:autoSpaceDE/>
        <w:autoSpaceDN/>
        <w:bidi w:val="0"/>
        <w:snapToGrid/>
        <w:spacing w:before="0" w:after="0" w:afterLines="0" w:line="62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注：1.乳制品</w:t>
      </w:r>
      <w:r>
        <w:rPr>
          <w:rFonts w:hint="eastAsia" w:ascii="仿宋_GB2312" w:hAnsi="仿宋_GB2312" w:eastAsia="仿宋_GB2312" w:cs="仿宋_GB2312"/>
          <w:color w:val="auto"/>
          <w:sz w:val="32"/>
          <w:szCs w:val="32"/>
          <w:highlight w:val="none"/>
          <w:lang w:val="en-US" w:eastAsia="zh-CN"/>
        </w:rPr>
        <w:t>高端化</w:t>
      </w:r>
      <w:r>
        <w:rPr>
          <w:rFonts w:hint="eastAsia" w:ascii="仿宋_GB2312" w:hAnsi="仿宋_GB2312" w:eastAsia="仿宋_GB2312" w:cs="仿宋_GB2312"/>
          <w:color w:val="auto"/>
          <w:sz w:val="32"/>
          <w:szCs w:val="32"/>
          <w:highlight w:val="none"/>
        </w:rPr>
        <w:t>转型补贴</w:t>
      </w:r>
      <w:r>
        <w:rPr>
          <w:rFonts w:hint="eastAsia" w:ascii="仿宋_GB2312" w:hAnsi="仿宋_GB2312" w:eastAsia="仿宋_GB2312" w:cs="仿宋_GB2312"/>
          <w:color w:val="auto"/>
          <w:sz w:val="32"/>
          <w:szCs w:val="32"/>
          <w:highlight w:val="none"/>
          <w:lang w:val="en-US" w:eastAsia="zh-CN"/>
        </w:rPr>
        <w:t>针对乳脂类、奶酪类、乳铁蛋白类、脱盐乳清、特医食品等高附加值产品</w:t>
      </w:r>
      <w:r>
        <w:rPr>
          <w:rFonts w:hint="eastAsia" w:ascii="仿宋_GB2312" w:hAnsi="仿宋_GB2312" w:eastAsia="仿宋_GB2312" w:cs="仿宋_GB2312"/>
          <w:color w:val="auto"/>
          <w:sz w:val="32"/>
          <w:szCs w:val="32"/>
          <w:highlight w:val="none"/>
        </w:rPr>
        <w:t>；2.同一项目不重复享受本类别多项设备投资补助，按最高标准执行。</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3.兑付程序</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（1）申报条件：</w:t>
      </w:r>
    </w:p>
    <w:p>
      <w:pPr>
        <w:pStyle w:val="10"/>
        <w:keepNext w:val="0"/>
        <w:keepLines w:val="0"/>
        <w:pageBreakBefore w:val="0"/>
        <w:widowControl w:val="0"/>
        <w:numPr>
          <w:ilvl w:val="0"/>
          <w:numId w:val="0"/>
        </w:numPr>
        <w:kinsoku/>
        <w:wordWrap/>
        <w:overflowPunct/>
        <w:topLinePunct w:val="0"/>
        <w:autoSpaceDE/>
        <w:autoSpaceDN/>
        <w:bidi w:val="0"/>
        <w:snapToGrid/>
        <w:spacing w:before="0" w:after="0" w:afterLines="0" w:line="626" w:lineRule="exact"/>
        <w:ind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rPr>
        <w:t>呼伦贝尔市辖区内注册、正常经营，近3年无违法违规记录，相关项目已完成或达到</w:t>
      </w:r>
      <w:r>
        <w:rPr>
          <w:rFonts w:hint="eastAsia" w:ascii="仿宋_GB2312" w:hAnsi="仿宋_GB2312" w:eastAsia="仿宋_GB2312" w:cs="仿宋_GB2312"/>
          <w:color w:val="auto"/>
          <w:sz w:val="32"/>
          <w:szCs w:val="32"/>
          <w:highlight w:val="none"/>
          <w:lang w:val="en-US" w:eastAsia="zh-CN"/>
        </w:rPr>
        <w:t>支持</w:t>
      </w:r>
      <w:r>
        <w:rPr>
          <w:rFonts w:hint="eastAsia" w:ascii="仿宋_GB2312" w:hAnsi="仿宋_GB2312" w:eastAsia="仿宋_GB2312" w:cs="仿宋_GB2312"/>
          <w:color w:val="auto"/>
          <w:sz w:val="32"/>
          <w:szCs w:val="32"/>
          <w:highlight w:val="none"/>
        </w:rPr>
        <w:t>条件，提供完整佐证材料；</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（2）申报材料：</w:t>
      </w:r>
    </w:p>
    <w:p>
      <w:pPr>
        <w:pStyle w:val="10"/>
        <w:keepNext w:val="0"/>
        <w:keepLines w:val="0"/>
        <w:pageBreakBefore w:val="0"/>
        <w:widowControl w:val="0"/>
        <w:numPr>
          <w:ilvl w:val="0"/>
          <w:numId w:val="0"/>
        </w:numPr>
        <w:kinsoku/>
        <w:wordWrap/>
        <w:overflowPunct/>
        <w:topLinePunct w:val="0"/>
        <w:autoSpaceDE/>
        <w:autoSpaceDN/>
        <w:bidi w:val="0"/>
        <w:snapToGrid/>
        <w:spacing w:before="0" w:after="0" w:afterLines="0" w:line="626" w:lineRule="exact"/>
        <w:ind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val="en-US" w:eastAsia="zh-CN"/>
        </w:rPr>
        <w:t>①</w:t>
      </w:r>
      <w:r>
        <w:rPr>
          <w:rFonts w:hint="eastAsia" w:ascii="仿宋_GB2312" w:hAnsi="仿宋_GB2312" w:eastAsia="仿宋_GB2312" w:cs="仿宋_GB2312"/>
          <w:color w:val="auto"/>
          <w:sz w:val="32"/>
          <w:szCs w:val="32"/>
          <w:highlight w:val="none"/>
        </w:rPr>
        <w:t>通用材料：申请报告、营业执照、相关认定文件/批复、审计报告；</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rPr>
        <w:t>专项材料：乳制品企业需</w:t>
      </w:r>
      <w:r>
        <w:rPr>
          <w:rFonts w:hint="eastAsia" w:ascii="仿宋_GB2312" w:hAnsi="仿宋_GB2312" w:eastAsia="仿宋_GB2312" w:cs="仿宋_GB2312"/>
          <w:color w:val="auto"/>
          <w:sz w:val="32"/>
          <w:szCs w:val="32"/>
          <w:highlight w:val="none"/>
          <w:lang w:val="en-US" w:eastAsia="zh-CN"/>
        </w:rPr>
        <w:t>提供获得自治区相关项目支持佐证材料</w:t>
      </w:r>
      <w:r>
        <w:rPr>
          <w:rFonts w:hint="eastAsia" w:ascii="仿宋_GB2312" w:hAnsi="仿宋_GB2312" w:eastAsia="仿宋_GB2312" w:cs="仿宋_GB2312"/>
          <w:color w:val="auto"/>
          <w:sz w:val="32"/>
          <w:szCs w:val="32"/>
          <w:highlight w:val="none"/>
        </w:rPr>
        <w:t>；技改项目需提供技改实施方案、投资明细。</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（3）审核流程：</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val="en-US" w:eastAsia="zh-CN"/>
        </w:rPr>
        <w:t>①</w:t>
      </w:r>
      <w:r>
        <w:rPr>
          <w:rFonts w:hint="eastAsia" w:ascii="仿宋_GB2312" w:hAnsi="仿宋_GB2312" w:eastAsia="仿宋_GB2312" w:cs="仿宋_GB2312"/>
          <w:color w:val="auto"/>
          <w:sz w:val="32"/>
          <w:szCs w:val="32"/>
          <w:highlight w:val="none"/>
        </w:rPr>
        <w:t>企业/旗市区向市工信局申报→市工信局会同相关主管部门（农牧局、统计局等）审核材料→实地核查（必要时）→集体评审→确定支持对象及金额；</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color w:val="auto"/>
          <w:sz w:val="32"/>
          <w:szCs w:val="32"/>
          <w:highlight w:val="none"/>
          <w:lang w:val="en-US" w:eastAsia="zh-CN"/>
        </w:rPr>
        <w:t>②</w:t>
      </w:r>
      <w:r>
        <w:rPr>
          <w:rFonts w:hint="eastAsia" w:ascii="仿宋_GB2312" w:hAnsi="仿宋_GB2312" w:eastAsia="仿宋_GB2312" w:cs="仿宋_GB2312"/>
          <w:color w:val="auto"/>
          <w:sz w:val="32"/>
          <w:szCs w:val="32"/>
          <w:highlight w:val="none"/>
        </w:rPr>
        <w:t>涉及旗市区分担资金的，由市工信局</w:t>
      </w:r>
      <w:r>
        <w:rPr>
          <w:rFonts w:hint="eastAsia" w:ascii="仿宋_GB2312" w:hAnsi="仿宋_GB2312" w:eastAsia="仿宋_GB2312" w:cs="仿宋_GB2312"/>
          <w:color w:val="auto"/>
          <w:sz w:val="32"/>
          <w:szCs w:val="32"/>
          <w:highlight w:val="none"/>
          <w:lang w:val="en-US" w:eastAsia="zh-CN"/>
        </w:rPr>
        <w:t>核定市本级分担额度后报市</w:t>
      </w:r>
      <w:r>
        <w:rPr>
          <w:rFonts w:hint="eastAsia" w:ascii="仿宋_GB2312" w:hAnsi="仿宋_GB2312" w:eastAsia="仿宋_GB2312" w:cs="仿宋_GB2312"/>
          <w:color w:val="auto"/>
          <w:sz w:val="32"/>
          <w:szCs w:val="32"/>
          <w:highlight w:val="none"/>
        </w:rPr>
        <w:t>财政局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并督促相关旗市区做好资金配套工作。</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公示与拨付：对拟支持对象公示5个工作日无异议后一次性拨付。</w:t>
      </w:r>
    </w:p>
    <w:p>
      <w:pPr>
        <w:pStyle w:val="10"/>
        <w:keepNext w:val="0"/>
        <w:keepLines w:val="0"/>
        <w:pageBreakBefore w:val="0"/>
        <w:widowControl w:val="0"/>
        <w:kinsoku/>
        <w:wordWrap/>
        <w:overflowPunct/>
        <w:topLinePunct w:val="0"/>
        <w:autoSpaceDE/>
        <w:autoSpaceDN/>
        <w:bidi w:val="0"/>
        <w:adjustRightInd w:val="0"/>
        <w:snapToGrid/>
        <w:spacing w:before="0" w:after="0" w:afterLines="0" w:line="62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后续监管：资金专项用于对应转型项目支出，接受财政、审计部门监督，开展绩效评价。</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bidi="ar-SA"/>
        </w:rPr>
      </w:pP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eastAsia="zh" w:bidi="ar-SA"/>
        </w:rPr>
        <w:t>五</w:t>
      </w:r>
      <w:r>
        <w:rPr>
          <w:rFonts w:hint="eastAsia" w:ascii="楷体_GB2312" w:hAnsi="楷体_GB2312" w:eastAsia="楷体_GB2312" w:cs="楷体_GB2312"/>
          <w:b/>
          <w:bCs/>
          <w:color w:val="auto"/>
          <w:kern w:val="2"/>
          <w:sz w:val="32"/>
          <w:szCs w:val="32"/>
          <w:highlight w:val="none"/>
          <w:lang w:eastAsia="zh-CN" w:bidi="ar-SA"/>
        </w:rPr>
        <w:t>）</w:t>
      </w:r>
      <w:r>
        <w:rPr>
          <w:rFonts w:hint="eastAsia" w:ascii="楷体_GB2312" w:hAnsi="楷体_GB2312" w:eastAsia="楷体_GB2312" w:cs="楷体_GB2312"/>
          <w:b/>
          <w:bCs/>
          <w:color w:val="auto"/>
          <w:kern w:val="2"/>
          <w:sz w:val="32"/>
          <w:szCs w:val="32"/>
          <w:highlight w:val="none"/>
          <w:lang w:bidi="ar-SA"/>
        </w:rPr>
        <w:t>绿色低碳发展</w:t>
      </w:r>
      <w:r>
        <w:rPr>
          <w:rFonts w:hint="eastAsia" w:ascii="楷体_GB2312" w:hAnsi="楷体_GB2312" w:eastAsia="楷体_GB2312" w:cs="楷体_GB2312"/>
          <w:b/>
          <w:bCs/>
          <w:color w:val="auto"/>
          <w:kern w:val="2"/>
          <w:sz w:val="32"/>
          <w:szCs w:val="32"/>
          <w:highlight w:val="none"/>
          <w:lang w:val="en-US" w:eastAsia="zh-CN" w:bidi="ar-SA"/>
        </w:rPr>
        <w:t>方向</w:t>
      </w:r>
      <w:r>
        <w:rPr>
          <w:rFonts w:hint="eastAsia" w:ascii="楷体_GB2312" w:hAnsi="楷体_GB2312" w:eastAsia="楷体_GB2312" w:cs="楷体_GB2312"/>
          <w:b/>
          <w:bCs/>
          <w:color w:val="auto"/>
          <w:kern w:val="2"/>
          <w:sz w:val="32"/>
          <w:szCs w:val="32"/>
          <w:highlight w:val="none"/>
          <w:lang w:bidi="ar-SA"/>
        </w:rPr>
        <w:t>（年度预算</w:t>
      </w:r>
      <w:r>
        <w:rPr>
          <w:rFonts w:hint="eastAsia" w:ascii="楷体_GB2312" w:hAnsi="楷体_GB2312" w:eastAsia="楷体_GB2312" w:cs="楷体_GB2312"/>
          <w:b/>
          <w:bCs/>
          <w:color w:val="auto"/>
          <w:kern w:val="2"/>
          <w:sz w:val="32"/>
          <w:szCs w:val="32"/>
          <w:highlight w:val="none"/>
          <w:lang w:val="en-US" w:eastAsia="zh-CN" w:bidi="ar-SA"/>
        </w:rPr>
        <w:t>1</w:t>
      </w:r>
      <w:r>
        <w:rPr>
          <w:rFonts w:hint="eastAsia" w:ascii="楷体_GB2312" w:hAnsi="楷体_GB2312" w:eastAsia="楷体_GB2312" w:cs="楷体_GB2312"/>
          <w:b/>
          <w:bCs/>
          <w:color w:val="auto"/>
          <w:kern w:val="2"/>
          <w:sz w:val="32"/>
          <w:szCs w:val="32"/>
          <w:highlight w:val="none"/>
          <w:lang w:bidi="ar-SA"/>
        </w:rPr>
        <w:t>00万元）</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1.支持事项</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绿色制造体系建设（绿色工厂、绿色供应链管理企业、绿色园区）；</w:t>
      </w:r>
    </w:p>
    <w:p>
      <w:pPr>
        <w:pStyle w:val="10"/>
        <w:keepNext w:val="0"/>
        <w:keepLines w:val="0"/>
        <w:pageBreakBefore w:val="0"/>
        <w:widowControl w:val="0"/>
        <w:numPr>
          <w:ilvl w:val="0"/>
          <w:numId w:val="0"/>
        </w:numPr>
        <w:kinsoku/>
        <w:wordWrap/>
        <w:overflowPunct/>
        <w:topLinePunct w:val="0"/>
        <w:autoSpaceDE/>
        <w:autoSpaceDN/>
        <w:bidi w:val="0"/>
        <w:adjustRightInd w:val="0"/>
        <w:snapToGrid/>
        <w:spacing w:before="0" w:after="0" w:afterLines="0" w:line="62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节水型企业培育。</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2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 w:bidi="ar-SA"/>
        </w:rPr>
      </w:pPr>
      <w:r>
        <w:rPr>
          <w:rFonts w:hint="eastAsia" w:ascii="仿宋_GB2312" w:hAnsi="仿宋_GB2312" w:eastAsia="仿宋_GB2312" w:cs="仿宋_GB2312"/>
          <w:b/>
          <w:bCs/>
          <w:color w:val="auto"/>
          <w:kern w:val="2"/>
          <w:sz w:val="32"/>
          <w:szCs w:val="32"/>
          <w:highlight w:val="none"/>
          <w:lang w:val="en-US" w:eastAsia="zh-CN" w:bidi="ar-SA"/>
        </w:rPr>
        <w:t>2.支持</w:t>
      </w:r>
      <w:r>
        <w:rPr>
          <w:rFonts w:hint="eastAsia" w:ascii="仿宋_GB2312" w:hAnsi="仿宋_GB2312" w:eastAsia="仿宋_GB2312" w:cs="仿宋_GB2312"/>
          <w:b/>
          <w:bCs/>
          <w:color w:val="auto"/>
          <w:kern w:val="2"/>
          <w:sz w:val="32"/>
          <w:szCs w:val="32"/>
          <w:highlight w:val="none"/>
          <w:lang w:val="en-US" w:eastAsia="zh" w:bidi="ar-SA"/>
        </w:rPr>
        <w:t>依据及理由</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271"/>
        <w:gridCol w:w="2449"/>
        <w:gridCol w:w="4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16" w:hRule="atLeast"/>
        </w:trPr>
        <w:tc>
          <w:tcPr>
            <w:tcW w:w="2271"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支持类别</w:t>
            </w: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级别/类型</w:t>
            </w:r>
          </w:p>
        </w:tc>
        <w:tc>
          <w:tcPr>
            <w:tcW w:w="4332" w:type="dxa"/>
            <w:noWrap w:val="0"/>
            <w:tcMar>
              <w:top w:w="60" w:type="dxa"/>
              <w:left w:w="120" w:type="dxa"/>
              <w:bottom w:w="30" w:type="dxa"/>
              <w:right w:w="120" w:type="dxa"/>
            </w:tcMar>
            <w:vAlign w:val="top"/>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left="0" w:leftChars="0" w:right="0"/>
              <w:jc w:val="center"/>
              <w:textAlignment w:val="auto"/>
              <w:rPr>
                <w:rFonts w:hint="eastAsia" w:ascii="楷体_GB2312" w:hAnsi="楷体_GB2312" w:eastAsia="楷体_GB2312" w:cs="楷体_GB2312"/>
                <w:b/>
                <w:bCs/>
                <w:color w:val="auto"/>
                <w:sz w:val="32"/>
                <w:szCs w:val="32"/>
                <w:highlight w:val="none"/>
                <w:lang w:eastAsia="zh"/>
              </w:rPr>
            </w:pPr>
            <w:r>
              <w:rPr>
                <w:rFonts w:hint="eastAsia" w:ascii="楷体_GB2312" w:hAnsi="楷体_GB2312" w:eastAsia="楷体_GB2312" w:cs="楷体_GB2312"/>
                <w:b/>
                <w:bCs/>
                <w:color w:val="auto"/>
                <w:sz w:val="32"/>
                <w:szCs w:val="32"/>
                <w:highlight w:val="none"/>
                <w:lang w:val="en-US" w:eastAsia="zh-CN"/>
              </w:rPr>
              <w:t>支持依据</w:t>
            </w:r>
            <w:r>
              <w:rPr>
                <w:rFonts w:hint="eastAsia" w:ascii="楷体_GB2312" w:hAnsi="楷体_GB2312" w:eastAsia="楷体_GB2312" w:cs="楷体_GB2312"/>
                <w:b/>
                <w:bCs/>
                <w:color w:val="auto"/>
                <w:sz w:val="32"/>
                <w:szCs w:val="32"/>
                <w:highlight w:val="none"/>
                <w:lang w:val="en-US" w:eastAsia="zh"/>
              </w:rPr>
              <w:t>/理由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48" w:hRule="atLeast"/>
        </w:trPr>
        <w:tc>
          <w:tcPr>
            <w:tcW w:w="2271" w:type="dxa"/>
            <w:vMerge w:val="restart"/>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绿色制造</w:t>
            </w: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国家级绿色工厂、绿色供应链管理企业</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4" w:hRule="atLeast"/>
        </w:trPr>
        <w:tc>
          <w:tcPr>
            <w:tcW w:w="2271" w:type="dxa"/>
            <w:vMerge w:val="continue"/>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国家级绿色园区</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95" w:hRule="atLeast"/>
        </w:trPr>
        <w:tc>
          <w:tcPr>
            <w:tcW w:w="2271" w:type="dxa"/>
            <w:vMerge w:val="continue"/>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自治区级绿色工厂、绿色供应链管理企业</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6" w:hRule="atLeast"/>
        </w:trPr>
        <w:tc>
          <w:tcPr>
            <w:tcW w:w="2271" w:type="dxa"/>
            <w:vMerge w:val="continue"/>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自治区级绿色园区</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6" w:hRule="atLeast"/>
        </w:trPr>
        <w:tc>
          <w:tcPr>
            <w:tcW w:w="2271" w:type="dxa"/>
            <w:vMerge w:val="restart"/>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节水型企业</w:t>
            </w: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节水标杆企业</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6" w:hRule="atLeast"/>
        </w:trPr>
        <w:tc>
          <w:tcPr>
            <w:tcW w:w="2271" w:type="dxa"/>
            <w:vMerge w:val="continue"/>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p>
        </w:tc>
        <w:tc>
          <w:tcPr>
            <w:tcW w:w="2449"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节水型企业</w:t>
            </w:r>
          </w:p>
        </w:tc>
        <w:tc>
          <w:tcPr>
            <w:tcW w:w="4332" w:type="dxa"/>
            <w:noWrap w:val="0"/>
            <w:tcMar>
              <w:top w:w="60" w:type="dxa"/>
              <w:left w:w="120" w:type="dxa"/>
              <w:bottom w:w="30" w:type="dxa"/>
              <w:right w:w="120" w:type="dxa"/>
            </w:tcMar>
            <w:vAlign w:val="center"/>
          </w:tcPr>
          <w:p>
            <w:pPr>
              <w:pStyle w:val="32"/>
              <w:keepNext w:val="0"/>
              <w:keepLines w:val="0"/>
              <w:pageBreakBefore w:val="0"/>
              <w:widowControl w:val="0"/>
              <w:suppressLineNumbers w:val="0"/>
              <w:kinsoku/>
              <w:wordWrap/>
              <w:overflowPunct/>
              <w:topLinePunct w:val="0"/>
              <w:autoSpaceDE/>
              <w:autoSpaceDN/>
              <w:bidi w:val="0"/>
              <w:snapToGrid/>
              <w:spacing w:before="0" w:beforeAutospacing="0" w:after="0" w:afterAutospacing="0" w:line="600" w:lineRule="exact"/>
              <w:ind w:right="0"/>
              <w:jc w:val="both"/>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按照</w:t>
            </w:r>
            <w:r>
              <w:rPr>
                <w:rFonts w:hint="eastAsia" w:ascii="仿宋_GB2312" w:hAnsi="仿宋_GB2312" w:eastAsia="仿宋_GB2312" w:cs="仿宋_GB2312"/>
                <w:color w:val="auto"/>
                <w:sz w:val="24"/>
                <w:szCs w:val="24"/>
                <w:highlight w:val="none"/>
                <w:lang w:eastAsia="zh"/>
              </w:rPr>
              <w:t>内蒙古自治区制造业高质量发展专项资金管理办法（内工信投规字</w:t>
            </w:r>
            <w:r>
              <w:rPr>
                <w:rFonts w:hint="default" w:ascii="仿宋_GB2312" w:hAnsi="宋体" w:eastAsia="仿宋_GB2312" w:cs="仿宋_GB2312"/>
                <w:sz w:val="24"/>
                <w:szCs w:val="24"/>
              </w:rPr>
              <w:t>〔2025〕</w:t>
            </w:r>
            <w:r>
              <w:rPr>
                <w:rFonts w:hint="eastAsia" w:ascii="仿宋_GB2312" w:hAnsi="仿宋_GB2312" w:eastAsia="仿宋_GB2312" w:cs="仿宋_GB2312"/>
                <w:color w:val="auto"/>
                <w:sz w:val="24"/>
                <w:szCs w:val="24"/>
                <w:highlight w:val="none"/>
                <w:lang w:eastAsia="zh"/>
              </w:rPr>
              <w:t>545号）</w:t>
            </w:r>
            <w:r>
              <w:rPr>
                <w:rFonts w:hint="eastAsia" w:ascii="仿宋_GB2312" w:hAnsi="仿宋_GB2312" w:eastAsia="仿宋_GB2312" w:cs="仿宋_GB2312"/>
                <w:color w:val="auto"/>
                <w:sz w:val="24"/>
                <w:szCs w:val="24"/>
                <w:highlight w:val="none"/>
                <w:lang w:eastAsia="zh-CN"/>
              </w:rPr>
              <w:t>给予</w:t>
            </w:r>
            <w:r>
              <w:rPr>
                <w:rFonts w:hint="eastAsia" w:ascii="仿宋_GB2312" w:hAnsi="仿宋_GB2312" w:eastAsia="仿宋_GB2312" w:cs="仿宋_GB2312"/>
                <w:color w:val="auto"/>
                <w:sz w:val="24"/>
                <w:szCs w:val="24"/>
                <w:highlight w:val="none"/>
                <w:lang w:val="en-US" w:eastAsia="zh-CN"/>
              </w:rPr>
              <w:t>一次性奖励</w:t>
            </w:r>
          </w:p>
        </w:tc>
      </w:tr>
    </w:tbl>
    <w:p>
      <w:pPr>
        <w:pStyle w:val="10"/>
        <w:keepNext w:val="0"/>
        <w:keepLines w:val="0"/>
        <w:pageBreakBefore w:val="0"/>
        <w:widowControl w:val="0"/>
        <w:kinsoku/>
        <w:wordWrap/>
        <w:overflowPunct/>
        <w:topLinePunct w:val="0"/>
        <w:autoSpaceDE/>
        <w:autoSpaceDN/>
        <w:bidi w:val="0"/>
        <w:snapToGrid/>
        <w:spacing w:before="0" w:after="0" w:line="576"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注：企业需为首次获评，近3年无节能、环保违法记录，未使用国家明令淘汰的高耗能、高耗水设备；</w:t>
      </w:r>
      <w:r>
        <w:rPr>
          <w:rFonts w:hint="eastAsia" w:ascii="仿宋_GB2312" w:hAnsi="仿宋_GB2312" w:eastAsia="仿宋_GB2312" w:cs="仿宋_GB2312"/>
          <w:color w:val="auto"/>
          <w:sz w:val="32"/>
          <w:szCs w:val="32"/>
          <w:highlight w:val="none"/>
          <w:lang w:eastAsia="zh-CN"/>
        </w:rPr>
        <w:t>支持</w:t>
      </w:r>
      <w:r>
        <w:rPr>
          <w:rFonts w:hint="eastAsia" w:ascii="仿宋_GB2312" w:hAnsi="仿宋_GB2312" w:eastAsia="仿宋_GB2312" w:cs="仿宋_GB2312"/>
          <w:color w:val="auto"/>
          <w:sz w:val="32"/>
          <w:szCs w:val="32"/>
          <w:highlight w:val="none"/>
        </w:rPr>
        <w:t>资金专项用于绿色技术改造、低碳管理体系升级、节水设施建设等。</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3.兑付程序</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1</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申报条件：企业/园区</w:t>
      </w:r>
      <w:r>
        <w:rPr>
          <w:rFonts w:hint="eastAsia" w:ascii="仿宋_GB2312" w:hAnsi="仿宋_GB2312" w:eastAsia="仿宋_GB2312" w:cs="仿宋_GB2312"/>
          <w:color w:val="auto"/>
          <w:sz w:val="32"/>
          <w:szCs w:val="32"/>
          <w:highlight w:val="none"/>
          <w:lang w:val="en-US" w:eastAsia="zh-CN"/>
        </w:rPr>
        <w:t>当年</w:t>
      </w:r>
      <w:r>
        <w:rPr>
          <w:rFonts w:hint="eastAsia" w:ascii="仿宋_GB2312" w:hAnsi="仿宋_GB2312" w:eastAsia="仿宋_GB2312" w:cs="仿宋_GB2312"/>
          <w:color w:val="auto"/>
          <w:sz w:val="32"/>
          <w:szCs w:val="32"/>
          <w:highlight w:val="none"/>
        </w:rPr>
        <w:t>获得国家、自治区相关认定证书，符合环保、节水相关规定；</w:t>
      </w:r>
    </w:p>
    <w:p>
      <w:pPr>
        <w:pStyle w:val="10"/>
        <w:keepNext w:val="0"/>
        <w:keepLines w:val="0"/>
        <w:pageBreakBefore w:val="0"/>
        <w:widowControl w:val="0"/>
        <w:numPr>
          <w:ilvl w:val="0"/>
          <w:numId w:val="0"/>
        </w:numPr>
        <w:kinsoku/>
        <w:wordWrap/>
        <w:overflowPunct/>
        <w:topLinePunct w:val="0"/>
        <w:autoSpaceDE/>
        <w:autoSpaceDN/>
        <w:bidi w:val="0"/>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2</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申报材料：申请报告、营业执照、认定证书、近3年无违法记录承诺书、资金使用计划；</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3</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审核流程：企业/园区向市工信局申报→</w:t>
      </w:r>
      <w:r>
        <w:rPr>
          <w:rFonts w:hint="eastAsia" w:ascii="仿宋_GB2312" w:hAnsi="仿宋_GB2312" w:eastAsia="仿宋_GB2312" w:cs="仿宋_GB2312"/>
          <w:color w:val="auto"/>
          <w:sz w:val="32"/>
          <w:szCs w:val="32"/>
          <w:highlight w:val="none"/>
          <w:lang w:val="en-US" w:eastAsia="zh-CN"/>
        </w:rPr>
        <w:t>市工信局</w:t>
      </w:r>
      <w:r>
        <w:rPr>
          <w:rFonts w:hint="eastAsia" w:ascii="仿宋_GB2312" w:hAnsi="仿宋_GB2312" w:eastAsia="仿宋_GB2312" w:cs="仿宋_GB2312"/>
          <w:color w:val="auto"/>
          <w:sz w:val="32"/>
          <w:szCs w:val="32"/>
          <w:highlight w:val="none"/>
        </w:rPr>
        <w:t>审核材料→实地核查（重点项目）→确定</w:t>
      </w:r>
      <w:r>
        <w:rPr>
          <w:rFonts w:hint="eastAsia" w:ascii="仿宋_GB2312" w:hAnsi="仿宋_GB2312" w:eastAsia="仿宋_GB2312" w:cs="仿宋_GB2312"/>
          <w:color w:val="auto"/>
          <w:sz w:val="32"/>
          <w:szCs w:val="32"/>
          <w:highlight w:val="none"/>
          <w:lang w:eastAsia="zh-CN"/>
        </w:rPr>
        <w:t>支持</w:t>
      </w:r>
      <w:r>
        <w:rPr>
          <w:rFonts w:hint="eastAsia" w:ascii="仿宋_GB2312" w:hAnsi="仿宋_GB2312" w:eastAsia="仿宋_GB2312" w:cs="仿宋_GB2312"/>
          <w:color w:val="auto"/>
          <w:sz w:val="32"/>
          <w:szCs w:val="32"/>
          <w:highlight w:val="none"/>
        </w:rPr>
        <w:t>对象；</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4</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公示与拨付：公示5个工作日无异议后，一次性拨付</w:t>
      </w:r>
      <w:r>
        <w:rPr>
          <w:rFonts w:hint="eastAsia" w:ascii="仿宋_GB2312" w:hAnsi="仿宋_GB2312" w:eastAsia="仿宋_GB2312" w:cs="仿宋_GB2312"/>
          <w:color w:val="auto"/>
          <w:sz w:val="32"/>
          <w:szCs w:val="32"/>
          <w:highlight w:val="none"/>
          <w:lang w:eastAsia="zh-CN"/>
        </w:rPr>
        <w:t>支持</w:t>
      </w:r>
      <w:r>
        <w:rPr>
          <w:rFonts w:hint="eastAsia" w:ascii="仿宋_GB2312" w:hAnsi="仿宋_GB2312" w:eastAsia="仿宋_GB2312" w:cs="仿宋_GB2312"/>
          <w:color w:val="auto"/>
          <w:sz w:val="32"/>
          <w:szCs w:val="32"/>
          <w:highlight w:val="none"/>
        </w:rPr>
        <w:t>资金；</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b w:val="0"/>
          <w:color w:val="auto"/>
          <w:kern w:val="2"/>
          <w:sz w:val="32"/>
          <w:szCs w:val="32"/>
          <w:highlight w:val="none"/>
          <w:lang w:val="en-US" w:eastAsia="zh-CN" w:bidi="ar-SA"/>
        </w:rPr>
        <w:t>5</w:t>
      </w:r>
      <w:r>
        <w:rPr>
          <w:rFonts w:hint="eastAsia" w:ascii="仿宋_GB2312" w:hAnsi="仿宋_GB2312" w:eastAsia="仿宋_GB2312" w:cs="仿宋_GB2312"/>
          <w:b w:val="0"/>
          <w:color w:val="auto"/>
          <w:kern w:val="2"/>
          <w:sz w:val="32"/>
          <w:szCs w:val="32"/>
          <w:highlight w:val="none"/>
          <w:lang w:eastAsia="zh-CN" w:bidi="ar-SA"/>
        </w:rPr>
        <w:t>）</w:t>
      </w:r>
      <w:r>
        <w:rPr>
          <w:rFonts w:hint="eastAsia" w:ascii="仿宋_GB2312" w:hAnsi="仿宋_GB2312" w:eastAsia="仿宋_GB2312" w:cs="仿宋_GB2312"/>
          <w:color w:val="auto"/>
          <w:sz w:val="32"/>
          <w:szCs w:val="32"/>
          <w:highlight w:val="none"/>
        </w:rPr>
        <w:t>绩效跟踪：定期核查资金使用情况，未按规定用于绿色低碳相关支出的，收回</w:t>
      </w:r>
      <w:r>
        <w:rPr>
          <w:rFonts w:hint="eastAsia" w:ascii="仿宋_GB2312" w:hAnsi="仿宋_GB2312" w:eastAsia="仿宋_GB2312" w:cs="仿宋_GB2312"/>
          <w:color w:val="auto"/>
          <w:sz w:val="32"/>
          <w:szCs w:val="32"/>
          <w:highlight w:val="none"/>
          <w:lang w:eastAsia="zh-CN"/>
        </w:rPr>
        <w:t>支持</w:t>
      </w:r>
      <w:r>
        <w:rPr>
          <w:rFonts w:hint="eastAsia" w:ascii="仿宋_GB2312" w:hAnsi="仿宋_GB2312" w:eastAsia="仿宋_GB2312" w:cs="仿宋_GB2312"/>
          <w:color w:val="auto"/>
          <w:sz w:val="32"/>
          <w:szCs w:val="32"/>
          <w:highlight w:val="none"/>
        </w:rPr>
        <w:t>资金。</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val="en-US" w:eastAsia="zh-CN" w:bidi="ar-SA"/>
        </w:rPr>
      </w:pPr>
      <w:r>
        <w:rPr>
          <w:rFonts w:hint="eastAsia" w:ascii="楷体_GB2312" w:hAnsi="楷体_GB2312" w:eastAsia="楷体_GB2312" w:cs="楷体_GB2312"/>
          <w:b/>
          <w:bCs/>
          <w:color w:val="auto"/>
          <w:kern w:val="2"/>
          <w:sz w:val="32"/>
          <w:szCs w:val="32"/>
          <w:highlight w:val="none"/>
          <w:lang w:val="en-US" w:eastAsia="zh-CN" w:bidi="ar-SA"/>
        </w:rPr>
        <w:t>（六）重点工作或重大项目建设方向</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经市委、市政府同意，事关全局重点工作、重大项目可统筹使用专项资金，预算安排一事一议，资金使用方向、兑付程序参照其他方向执行，确保资金专款专用、安全高效，切实起到“集中力量办大事”作用。</w:t>
      </w:r>
    </w:p>
    <w:p>
      <w:pPr>
        <w:pStyle w:val="3"/>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0" w:firstLineChars="200"/>
        <w:jc w:val="both"/>
        <w:textAlignment w:val="auto"/>
        <w:rPr>
          <w:rFonts w:hint="eastAsia" w:ascii="黑体" w:hAnsi="黑体" w:eastAsia="黑体" w:cs="黑体"/>
          <w:b w:val="0"/>
          <w:bCs/>
          <w:color w:val="auto"/>
          <w:kern w:val="44"/>
          <w:sz w:val="32"/>
          <w:szCs w:val="32"/>
          <w:highlight w:val="none"/>
          <w:lang w:bidi="ar-SA"/>
        </w:rPr>
      </w:pPr>
      <w:r>
        <w:rPr>
          <w:rFonts w:hint="eastAsia" w:ascii="黑体" w:hAnsi="黑体" w:eastAsia="黑体" w:cs="黑体"/>
          <w:b w:val="0"/>
          <w:bCs/>
          <w:color w:val="auto"/>
          <w:kern w:val="44"/>
          <w:sz w:val="32"/>
          <w:szCs w:val="32"/>
          <w:highlight w:val="none"/>
          <w:lang w:val="en-US" w:eastAsia="zh-CN" w:bidi="ar-SA"/>
        </w:rPr>
        <w:t>三</w:t>
      </w:r>
      <w:r>
        <w:rPr>
          <w:rFonts w:hint="eastAsia" w:ascii="黑体" w:hAnsi="黑体" w:eastAsia="黑体" w:cs="黑体"/>
          <w:b w:val="0"/>
          <w:bCs/>
          <w:color w:val="auto"/>
          <w:kern w:val="44"/>
          <w:sz w:val="32"/>
          <w:szCs w:val="32"/>
          <w:highlight w:val="none"/>
          <w:lang w:bidi="ar-SA"/>
        </w:rPr>
        <w:t>、监督管理</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val="en-US" w:eastAsia="zh-CN" w:bidi="ar-SA"/>
        </w:rPr>
      </w:pPr>
      <w:r>
        <w:rPr>
          <w:rFonts w:hint="eastAsia" w:ascii="楷体_GB2312" w:hAnsi="楷体_GB2312" w:eastAsia="楷体_GB2312" w:cs="楷体_GB2312"/>
          <w:b/>
          <w:bCs/>
          <w:color w:val="auto"/>
          <w:kern w:val="2"/>
          <w:sz w:val="32"/>
          <w:szCs w:val="32"/>
          <w:highlight w:val="none"/>
          <w:lang w:val="en-US" w:eastAsia="zh-CN" w:bidi="ar-SA"/>
        </w:rPr>
        <w:t>（一）资金管理</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1.</w:t>
      </w:r>
      <w:r>
        <w:rPr>
          <w:rFonts w:hint="eastAsia" w:ascii="仿宋_GB2312" w:hAnsi="仿宋_GB2312" w:eastAsia="仿宋_GB2312" w:cs="仿宋_GB2312"/>
          <w:color w:val="auto"/>
          <w:sz w:val="32"/>
          <w:szCs w:val="32"/>
          <w:highlight w:val="none"/>
        </w:rPr>
        <w:t>专项资金实行专款专用，项目单位需建立专门台账，规范会计核算，明确资金使用范围，不得用于与支持事项无关的支出；</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2.</w:t>
      </w:r>
      <w:r>
        <w:rPr>
          <w:rFonts w:hint="eastAsia" w:ascii="仿宋_GB2312" w:hAnsi="仿宋_GB2312" w:eastAsia="仿宋_GB2312" w:cs="仿宋_GB2312"/>
          <w:color w:val="auto"/>
          <w:sz w:val="32"/>
          <w:szCs w:val="32"/>
          <w:highlight w:val="none"/>
        </w:rPr>
        <w:t>涉及旗市区分担的资金，旗市区需按财政事权划分比例及时足额落实配套资金，不得截留、拖欠；</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3.</w:t>
      </w:r>
      <w:r>
        <w:rPr>
          <w:rFonts w:hint="eastAsia" w:ascii="仿宋_GB2312" w:hAnsi="仿宋_GB2312" w:eastAsia="仿宋_GB2312" w:cs="仿宋_GB2312"/>
          <w:color w:val="auto"/>
          <w:sz w:val="32"/>
          <w:szCs w:val="32"/>
          <w:highlight w:val="none"/>
        </w:rPr>
        <w:t>市财政局、工信局定期开展资金使用专项检查，重点核查资金拨付、使用合规性及项目实施成效。</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576"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bidi="ar-SA"/>
        </w:rPr>
      </w:pPr>
      <w:r>
        <w:rPr>
          <w:rFonts w:hint="eastAsia" w:ascii="楷体_GB2312" w:hAnsi="楷体_GB2312" w:eastAsia="楷体_GB2312" w:cs="楷体_GB2312"/>
          <w:b/>
          <w:bCs/>
          <w:color w:val="auto"/>
          <w:kern w:val="2"/>
          <w:sz w:val="32"/>
          <w:szCs w:val="32"/>
          <w:highlight w:val="none"/>
          <w:lang w:bidi="ar-SA"/>
        </w:rPr>
        <w:t>（二）绩效评价</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1.</w:t>
      </w:r>
      <w:r>
        <w:rPr>
          <w:rFonts w:hint="default" w:ascii="仿宋_GB2312" w:hAnsi="仿宋_GB2312" w:eastAsia="仿宋_GB2312" w:cs="仿宋_GB2312"/>
          <w:b w:val="0"/>
          <w:color w:val="auto"/>
          <w:kern w:val="2"/>
          <w:sz w:val="32"/>
          <w:szCs w:val="32"/>
          <w:highlight w:val="none"/>
          <w:lang w:val="en-US" w:eastAsia="zh-CN" w:bidi="ar-SA"/>
        </w:rPr>
        <w:t>市工信局每年开展专项资金绩效</w:t>
      </w:r>
      <w:r>
        <w:rPr>
          <w:rFonts w:hint="eastAsia" w:ascii="仿宋_GB2312" w:hAnsi="仿宋_GB2312" w:eastAsia="仿宋_GB2312" w:cs="仿宋_GB2312"/>
          <w:b w:val="0"/>
          <w:color w:val="auto"/>
          <w:kern w:val="2"/>
          <w:sz w:val="32"/>
          <w:szCs w:val="32"/>
          <w:highlight w:val="none"/>
          <w:lang w:val="en-US" w:eastAsia="zh-CN" w:bidi="ar-SA"/>
        </w:rPr>
        <w:t>评价</w:t>
      </w:r>
      <w:r>
        <w:rPr>
          <w:rFonts w:hint="eastAsia" w:ascii="仿宋_GB2312" w:hAnsi="仿宋_GB2312" w:eastAsia="仿宋_GB2312" w:cs="仿宋_GB2312"/>
          <w:color w:val="auto"/>
          <w:sz w:val="32"/>
          <w:szCs w:val="32"/>
          <w:highlight w:val="none"/>
        </w:rPr>
        <w:t>，评价指标包括项目完成率、资金使用合规率、目标任务达成度、经济效益、社会效益等；</w:t>
      </w:r>
      <w:r>
        <w:rPr>
          <w:rFonts w:hint="eastAsia" w:ascii="仿宋_GB2312" w:hAnsi="仿宋_GB2312" w:eastAsia="仿宋_GB2312" w:cs="仿宋_GB2312"/>
          <w:color w:val="auto"/>
          <w:sz w:val="32"/>
          <w:szCs w:val="32"/>
          <w:highlight w:val="none"/>
          <w:lang w:val="en-US" w:eastAsia="zh-CN"/>
        </w:rPr>
        <w:t>市财政局根据需要，不定期开展重点绩效评价抽查。</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576"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2.</w:t>
      </w:r>
      <w:r>
        <w:rPr>
          <w:rFonts w:hint="eastAsia" w:ascii="仿宋_GB2312" w:hAnsi="仿宋_GB2312" w:eastAsia="仿宋_GB2312" w:cs="仿宋_GB2312"/>
          <w:color w:val="auto"/>
          <w:sz w:val="32"/>
          <w:szCs w:val="32"/>
          <w:highlight w:val="none"/>
        </w:rPr>
        <w:t>绩效评价报告</w:t>
      </w:r>
      <w:r>
        <w:rPr>
          <w:rFonts w:hint="eastAsia" w:ascii="仿宋_GB2312" w:hAnsi="仿宋_GB2312" w:eastAsia="仿宋_GB2312" w:cs="仿宋_GB2312"/>
          <w:color w:val="auto"/>
          <w:sz w:val="32"/>
          <w:szCs w:val="32"/>
          <w:highlight w:val="none"/>
          <w:lang w:val="en-US" w:eastAsia="zh-CN"/>
        </w:rPr>
        <w:t>征求市政府意见</w:t>
      </w:r>
      <w:r>
        <w:rPr>
          <w:rFonts w:hint="eastAsia" w:ascii="仿宋_GB2312" w:hAnsi="仿宋_GB2312" w:eastAsia="仿宋_GB2312" w:cs="仿宋_GB2312"/>
          <w:color w:val="auto"/>
          <w:sz w:val="32"/>
          <w:szCs w:val="32"/>
          <w:highlight w:val="none"/>
        </w:rPr>
        <w:t>，并作为专项资金政策调整的重要依据。</w:t>
      </w:r>
    </w:p>
    <w:p>
      <w:pPr>
        <w:pStyle w:val="4"/>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2" w:firstLineChars="200"/>
        <w:jc w:val="both"/>
        <w:textAlignment w:val="auto"/>
        <w:rPr>
          <w:rFonts w:hint="eastAsia" w:ascii="楷体_GB2312" w:hAnsi="楷体_GB2312" w:eastAsia="楷体_GB2312" w:cs="楷体_GB2312"/>
          <w:b/>
          <w:bCs/>
          <w:color w:val="auto"/>
          <w:kern w:val="2"/>
          <w:sz w:val="32"/>
          <w:szCs w:val="32"/>
          <w:highlight w:val="none"/>
          <w:lang w:bidi="ar-SA"/>
        </w:rPr>
      </w:pPr>
      <w:r>
        <w:rPr>
          <w:rFonts w:hint="eastAsia" w:ascii="楷体_GB2312" w:hAnsi="楷体_GB2312" w:eastAsia="楷体_GB2312" w:cs="楷体_GB2312"/>
          <w:b/>
          <w:bCs/>
          <w:color w:val="auto"/>
          <w:kern w:val="2"/>
          <w:sz w:val="32"/>
          <w:szCs w:val="32"/>
          <w:highlight w:val="none"/>
          <w:lang w:bidi="ar-SA"/>
        </w:rPr>
        <w:t>（三）责任追究</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1.</w:t>
      </w:r>
      <w:r>
        <w:rPr>
          <w:rFonts w:hint="eastAsia" w:ascii="仿宋_GB2312" w:hAnsi="仿宋_GB2312" w:eastAsia="仿宋_GB2312" w:cs="仿宋_GB2312"/>
          <w:color w:val="auto"/>
          <w:sz w:val="32"/>
          <w:szCs w:val="32"/>
          <w:highlight w:val="none"/>
        </w:rPr>
        <w:t>对弄虚作假、伪造材料骗取专项资金，或截留、挪用、挤占专项资金的单位和个人，一经查实，立即全额收回资金，取消</w:t>
      </w:r>
      <w:r>
        <w:rPr>
          <w:rFonts w:hint="eastAsia" w:ascii="仿宋_GB2312" w:hAnsi="仿宋_GB2312" w:eastAsia="仿宋_GB2312" w:cs="仿宋_GB2312"/>
          <w:color w:val="auto"/>
          <w:w w:val="97"/>
          <w:sz w:val="32"/>
          <w:szCs w:val="32"/>
          <w:highlight w:val="none"/>
        </w:rPr>
        <w:t>其“十五五”期间剩余年度的申报资格，并在全市范围内通报批评；</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2.</w:t>
      </w:r>
      <w:r>
        <w:rPr>
          <w:rFonts w:hint="eastAsia" w:ascii="仿宋_GB2312" w:hAnsi="仿宋_GB2312" w:eastAsia="仿宋_GB2312" w:cs="仿宋_GB2312"/>
          <w:color w:val="auto"/>
          <w:sz w:val="32"/>
          <w:szCs w:val="32"/>
          <w:highlight w:val="none"/>
        </w:rPr>
        <w:t>涉及违法违规的，移交纪检监察、司法机关依法依规追究相关责任；</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3.</w:t>
      </w:r>
      <w:r>
        <w:rPr>
          <w:rFonts w:hint="eastAsia" w:ascii="仿宋_GB2312" w:hAnsi="仿宋_GB2312" w:eastAsia="仿宋_GB2312" w:cs="仿宋_GB2312"/>
          <w:color w:val="auto"/>
          <w:sz w:val="32"/>
          <w:szCs w:val="32"/>
          <w:highlight w:val="none"/>
        </w:rPr>
        <w:t>旗市区未按规定落实配套资金的，扣减其下一年度市级专项资金支持额度，情节严重的暂停相关事项申报资格。</w:t>
      </w:r>
    </w:p>
    <w:p>
      <w:pPr>
        <w:pStyle w:val="3"/>
        <w:keepNext w:val="0"/>
        <w:keepLines w:val="0"/>
        <w:pageBreakBefore w:val="0"/>
        <w:widowControl w:val="0"/>
        <w:numPr>
          <w:ilvl w:val="0"/>
          <w:numId w:val="0"/>
        </w:numPr>
        <w:kinsoku/>
        <w:wordWrap/>
        <w:overflowPunct/>
        <w:topLinePunct w:val="0"/>
        <w:autoSpaceDE/>
        <w:autoSpaceDN/>
        <w:bidi w:val="0"/>
        <w:adjustRightInd w:val="0"/>
        <w:snapToGrid/>
        <w:spacing w:before="0" w:after="0" w:line="600" w:lineRule="exact"/>
        <w:ind w:left="0" w:leftChars="0" w:firstLine="640" w:firstLineChars="200"/>
        <w:jc w:val="both"/>
        <w:textAlignment w:val="auto"/>
        <w:rPr>
          <w:rFonts w:hint="eastAsia" w:ascii="黑体" w:hAnsi="黑体" w:eastAsia="黑体" w:cs="黑体"/>
          <w:b w:val="0"/>
          <w:bCs/>
          <w:color w:val="auto"/>
          <w:kern w:val="44"/>
          <w:sz w:val="32"/>
          <w:szCs w:val="32"/>
          <w:highlight w:val="none"/>
          <w:lang w:bidi="ar-SA"/>
        </w:rPr>
      </w:pPr>
      <w:r>
        <w:rPr>
          <w:rFonts w:hint="eastAsia" w:ascii="黑体" w:hAnsi="黑体" w:eastAsia="黑体" w:cs="黑体"/>
          <w:b w:val="0"/>
          <w:bCs/>
          <w:color w:val="auto"/>
          <w:kern w:val="44"/>
          <w:sz w:val="32"/>
          <w:szCs w:val="32"/>
          <w:highlight w:val="none"/>
          <w:lang w:val="en-US" w:eastAsia="zh-CN" w:bidi="ar-SA"/>
        </w:rPr>
        <w:t>四</w:t>
      </w:r>
      <w:r>
        <w:rPr>
          <w:rFonts w:hint="eastAsia" w:ascii="黑体" w:hAnsi="黑体" w:eastAsia="黑体" w:cs="黑体"/>
          <w:b w:val="0"/>
          <w:bCs/>
          <w:color w:val="auto"/>
          <w:kern w:val="44"/>
          <w:sz w:val="32"/>
          <w:szCs w:val="32"/>
          <w:highlight w:val="none"/>
          <w:lang w:bidi="ar-SA"/>
        </w:rPr>
        <w:t>、附则</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1.</w:t>
      </w:r>
      <w:r>
        <w:rPr>
          <w:rFonts w:hint="eastAsia" w:ascii="仿宋_GB2312" w:hAnsi="仿宋_GB2312" w:eastAsia="仿宋_GB2312" w:cs="仿宋_GB2312"/>
          <w:color w:val="auto"/>
          <w:sz w:val="32"/>
          <w:szCs w:val="32"/>
          <w:highlight w:val="none"/>
        </w:rPr>
        <w:t>本细则所指“十五五”时期为2026年1月1日至2030年12月31日，“首次获评”“新开工”“新入规”等时间节点均以该周期为准；</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20" w:firstLineChars="200"/>
        <w:jc w:val="both"/>
        <w:textAlignment w:val="auto"/>
        <w:rPr>
          <w:rFonts w:hint="eastAsia" w:ascii="仿宋_GB2312" w:hAnsi="仿宋_GB2312" w:eastAsia="仿宋_GB2312" w:cs="仿宋_GB2312"/>
          <w:b w:val="0"/>
          <w:color w:val="auto"/>
          <w:w w:val="97"/>
          <w:sz w:val="32"/>
          <w:szCs w:val="32"/>
          <w:highlight w:val="none"/>
        </w:rPr>
      </w:pPr>
      <w:r>
        <w:rPr>
          <w:rFonts w:hint="default" w:ascii="仿宋_GB2312" w:hAnsi="仿宋_GB2312" w:eastAsia="仿宋_GB2312" w:cs="仿宋_GB2312"/>
          <w:b w:val="0"/>
          <w:color w:val="auto"/>
          <w:w w:val="97"/>
          <w:kern w:val="2"/>
          <w:sz w:val="32"/>
          <w:szCs w:val="32"/>
          <w:highlight w:val="none"/>
          <w:lang w:bidi="ar-SA"/>
        </w:rPr>
        <w:t>2.</w:t>
      </w:r>
      <w:r>
        <w:rPr>
          <w:rFonts w:hint="eastAsia" w:ascii="仿宋_GB2312" w:hAnsi="仿宋_GB2312" w:eastAsia="仿宋_GB2312" w:cs="仿宋_GB2312"/>
          <w:color w:val="auto"/>
          <w:w w:val="97"/>
          <w:sz w:val="32"/>
          <w:szCs w:val="32"/>
          <w:highlight w:val="none"/>
        </w:rPr>
        <w:t>同一企业、同一项目在本细则不同支持方向中不重复享受资金支持，同一支持方向内多项标准适用的，按最高标准执行；</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3.</w:t>
      </w:r>
      <w:r>
        <w:rPr>
          <w:rFonts w:hint="eastAsia" w:ascii="仿宋_GB2312" w:hAnsi="仿宋_GB2312" w:eastAsia="仿宋_GB2312" w:cs="仿宋_GB2312"/>
          <w:color w:val="auto"/>
          <w:sz w:val="32"/>
          <w:szCs w:val="32"/>
          <w:highlight w:val="none"/>
        </w:rPr>
        <w:t>本细则中涉及的“财政事权划分比例”，按呼伦贝尔市现行财政管理体制相关规定执行；</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b w:val="0"/>
          <w:color w:val="auto"/>
          <w:sz w:val="32"/>
          <w:szCs w:val="32"/>
          <w:highlight w:val="none"/>
        </w:rPr>
      </w:pPr>
      <w:r>
        <w:rPr>
          <w:rFonts w:hint="default" w:ascii="仿宋_GB2312" w:hAnsi="仿宋_GB2312" w:eastAsia="仿宋_GB2312" w:cs="仿宋_GB2312"/>
          <w:b w:val="0"/>
          <w:color w:val="auto"/>
          <w:kern w:val="2"/>
          <w:sz w:val="32"/>
          <w:szCs w:val="32"/>
          <w:highlight w:val="none"/>
          <w:lang w:bidi="ar-SA"/>
        </w:rPr>
        <w:t>4.</w:t>
      </w:r>
      <w:r>
        <w:rPr>
          <w:rFonts w:hint="eastAsia" w:ascii="仿宋_GB2312" w:hAnsi="仿宋_GB2312" w:eastAsia="仿宋_GB2312" w:cs="仿宋_GB2312"/>
          <w:color w:val="auto"/>
          <w:sz w:val="32"/>
          <w:szCs w:val="32"/>
          <w:highlight w:val="none"/>
        </w:rPr>
        <w:t>本细则实施期间，如国家、自治区出台新的相关政策，按上级政策规定调整执行；</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5.</w:t>
      </w:r>
      <w:r>
        <w:rPr>
          <w:rFonts w:hint="eastAsia" w:ascii="仿宋_GB2312" w:hAnsi="仿宋_GB2312" w:eastAsia="仿宋_GB2312" w:cs="仿宋_GB2312"/>
          <w:color w:val="auto"/>
          <w:sz w:val="32"/>
          <w:szCs w:val="32"/>
          <w:highlight w:val="none"/>
          <w:lang w:val="en-US" w:eastAsia="zh-CN"/>
        </w:rPr>
        <w:t>本细则最终解释权归呼伦贝尔市工业和信息化局所有</w:t>
      </w:r>
      <w:r>
        <w:rPr>
          <w:rFonts w:hint="eastAsia" w:ascii="仿宋_GB2312" w:hAnsi="仿宋_GB2312" w:eastAsia="仿宋_GB2312" w:cs="仿宋_GB2312"/>
          <w:color w:val="auto"/>
          <w:sz w:val="32"/>
          <w:szCs w:val="32"/>
          <w:highlight w:val="none"/>
        </w:rPr>
        <w:t>；</w:t>
      </w:r>
    </w:p>
    <w:p>
      <w:pPr>
        <w:pStyle w:val="10"/>
        <w:keepNext w:val="0"/>
        <w:keepLines w:val="0"/>
        <w:pageBreakBefore w:val="0"/>
        <w:widowControl w:val="0"/>
        <w:numPr>
          <w:ilvl w:val="0"/>
          <w:numId w:val="0"/>
        </w:numPr>
        <w:kinsoku/>
        <w:wordWrap/>
        <w:overflowPunct/>
        <w:topLinePunct w:val="0"/>
        <w:autoSpaceDE/>
        <w:autoSpaceDN/>
        <w:bidi w:val="0"/>
        <w:adjustRightInd/>
        <w:snapToGrid/>
        <w:spacing w:before="0" w:after="0" w:line="600" w:lineRule="exact"/>
        <w:ind w:left="0" w:leftChars="0" w:firstLine="640" w:firstLineChars="200"/>
        <w:jc w:val="both"/>
        <w:textAlignment w:val="auto"/>
        <w:rPr>
          <w:rFonts w:hint="eastAsia" w:ascii="黑体" w:hAnsi="黑体" w:eastAsia="黑体" w:cs="黑体"/>
          <w:color w:val="auto"/>
          <w:sz w:val="32"/>
          <w:szCs w:val="32"/>
          <w:highlight w:val="none"/>
          <w:lang w:val="en-US" w:eastAsia="zh-CN"/>
        </w:rPr>
      </w:pPr>
      <w:r>
        <w:rPr>
          <w:rFonts w:hint="default" w:ascii="仿宋_GB2312" w:hAnsi="仿宋_GB2312" w:eastAsia="仿宋_GB2312" w:cs="仿宋_GB2312"/>
          <w:color w:val="auto"/>
          <w:kern w:val="2"/>
          <w:sz w:val="32"/>
          <w:szCs w:val="32"/>
          <w:highlight w:val="none"/>
          <w:lang w:bidi="ar-SA"/>
        </w:rPr>
        <w:t>6.</w:t>
      </w:r>
      <w:r>
        <w:rPr>
          <w:rFonts w:hint="eastAsia" w:ascii="仿宋_GB2312" w:hAnsi="仿宋_GB2312" w:eastAsia="仿宋_GB2312" w:cs="仿宋_GB2312"/>
          <w:color w:val="auto"/>
          <w:sz w:val="32"/>
          <w:szCs w:val="32"/>
          <w:highlight w:val="none"/>
        </w:rPr>
        <w:t>本细则自印发之日起施行</w:t>
      </w:r>
      <w:r>
        <w:rPr>
          <w:rFonts w:hint="eastAsia" w:ascii="仿宋_GB2312" w:hAnsi="仿宋_GB2312" w:eastAsia="仿宋_GB2312" w:cs="仿宋_GB2312"/>
          <w:color w:val="auto"/>
          <w:sz w:val="32"/>
          <w:szCs w:val="32"/>
          <w:highlight w:val="none"/>
          <w:lang w:eastAsia="zh-CN"/>
        </w:rPr>
        <w:t>。</w:t>
      </w:r>
    </w:p>
    <w:p>
      <w:pPr>
        <w:rPr>
          <w:rFonts w:hint="eastAsia"/>
          <w:lang w:val="en-US" w:eastAsia="zh-CN"/>
        </w:rPr>
      </w:pPr>
    </w:p>
    <w:p>
      <w:pPr>
        <w:spacing w:line="600" w:lineRule="exact"/>
        <w:jc w:val="both"/>
        <w:rPr>
          <w:rFonts w:hint="default" w:ascii="方正小标宋简体" w:hAnsi="方正小标宋简体" w:eastAsia="方正小标宋简体" w:cs="方正小标宋简体"/>
          <w:color w:val="000000" w:themeColor="text1"/>
          <w:sz w:val="44"/>
          <w:szCs w:val="44"/>
          <w:u w:val="none"/>
          <w:lang w:val="en-US" w:eastAsia="zh-CN"/>
          <w14:textFill>
            <w14:solidFill>
              <w14:schemeClr w14:val="tx1"/>
            </w14:solidFill>
          </w14:textFill>
        </w:rPr>
      </w:pPr>
    </w:p>
    <w:sectPr>
      <w:footerReference r:id="rId4" w:type="default"/>
      <w:pgSz w:w="11906" w:h="16838"/>
      <w:pgMar w:top="2098" w:right="1531" w:bottom="1984" w:left="1531" w:header="850" w:footer="1587" w:gutter="0"/>
      <w:pgNumType w:fmt="numberInDash"/>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ngsana New">
    <w:panose1 w:val="02020603050405020304"/>
    <w:charset w:val="00"/>
    <w:family w:val="auto"/>
    <w:pitch w:val="default"/>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- 4 -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&#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PWLh2QyAgAAYQQAAA4AAAAAAAAAAQAgAAAA&#10;NQEAAGRycy9lMm9Eb2MueG1sUEsFBgAAAAAGAAYAWQEAANkFAAAAAA==&#10;">
              <v:fill on="f" focussize="0,0"/>
              <v:stroke on="f" weight="0.5pt"/>
              <v:imagedata o:title=""/>
              <o:lock v:ext="edit" aspectratio="f"/>
              <v:textbox inset="0mm,0mm,0mm,0mm" style="mso-fit-shape-to-text:t;">
                <w:txbxContent>
                  <w:p>
                    <w:pPr>
                      <w:pStyle w:val="1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- 4 -</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4"/>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33</w:t>
                          </w:r>
                          <w:r>
                            <w:rPr>
                              <w:rFonts w:ascii="宋体" w:hAnsi="宋体"/>
                              <w:sz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vXQbdjcCAABvBAAADgAAAAAAAAAB&#10;ACAAAAA1AQAAZHJzL2Uyb0RvYy54bWxQSwUGAAAAAAYABgBZAQAA3gUAAAAA&#10;">
              <v:fill on="f" focussize="0,0"/>
              <v:stroke on="f" weight="0.5pt"/>
              <v:imagedata o:title=""/>
              <o:lock v:ext="edit" aspectratio="f"/>
              <v:textbox inset="0mm,0mm,0mm,0mm" style="mso-fit-shape-to-text:t;">
                <w:txbxContent>
                  <w:p>
                    <w:pPr>
                      <w:pStyle w:val="14"/>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33</w:t>
                    </w:r>
                    <w:r>
                      <w:rPr>
                        <w:rFonts w:ascii="宋体" w:hAnsi="宋体"/>
                        <w:sz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xMDQ4YzZlZDhmZWJhNTJhOTRiYjQwMTZhMjNiZjAifQ=="/>
  </w:docVars>
  <w:rsids>
    <w:rsidRoot w:val="00000000"/>
    <w:rsid w:val="0E2BB118"/>
    <w:rsid w:val="1BCF9193"/>
    <w:rsid w:val="1F87D0DC"/>
    <w:rsid w:val="1FF31834"/>
    <w:rsid w:val="30AF6802"/>
    <w:rsid w:val="315F27AB"/>
    <w:rsid w:val="35F92C0A"/>
    <w:rsid w:val="37363567"/>
    <w:rsid w:val="377FD389"/>
    <w:rsid w:val="3B59D501"/>
    <w:rsid w:val="3BF3002A"/>
    <w:rsid w:val="3D75B3E3"/>
    <w:rsid w:val="3DFA05CA"/>
    <w:rsid w:val="3EAB0813"/>
    <w:rsid w:val="3EEAEAC9"/>
    <w:rsid w:val="3F9FD02D"/>
    <w:rsid w:val="3FAFC1B0"/>
    <w:rsid w:val="3FB749E9"/>
    <w:rsid w:val="3FBDD2CB"/>
    <w:rsid w:val="3FDBB964"/>
    <w:rsid w:val="3FEDB805"/>
    <w:rsid w:val="3FF404BA"/>
    <w:rsid w:val="3FF77FF5"/>
    <w:rsid w:val="3FFEA21A"/>
    <w:rsid w:val="3FFF8584"/>
    <w:rsid w:val="440A7122"/>
    <w:rsid w:val="44CF41ED"/>
    <w:rsid w:val="45FEFCE9"/>
    <w:rsid w:val="46BF96CF"/>
    <w:rsid w:val="498D1C54"/>
    <w:rsid w:val="4BB4C568"/>
    <w:rsid w:val="4D74BD0D"/>
    <w:rsid w:val="4E7F00AB"/>
    <w:rsid w:val="4F76C0A8"/>
    <w:rsid w:val="4FEF4ECA"/>
    <w:rsid w:val="51CBCA12"/>
    <w:rsid w:val="535DCF8C"/>
    <w:rsid w:val="56576F09"/>
    <w:rsid w:val="57D4487D"/>
    <w:rsid w:val="57FCC33A"/>
    <w:rsid w:val="595F0C70"/>
    <w:rsid w:val="596FAC56"/>
    <w:rsid w:val="59C7A2A7"/>
    <w:rsid w:val="5BEF3DC6"/>
    <w:rsid w:val="5DBC4700"/>
    <w:rsid w:val="5DF5EAE6"/>
    <w:rsid w:val="5DF845F6"/>
    <w:rsid w:val="5E6E6BBD"/>
    <w:rsid w:val="5EB2D74D"/>
    <w:rsid w:val="5EEF873F"/>
    <w:rsid w:val="5F7C827A"/>
    <w:rsid w:val="5F7EFC9E"/>
    <w:rsid w:val="5FBB6397"/>
    <w:rsid w:val="5FC465BF"/>
    <w:rsid w:val="5FE5514C"/>
    <w:rsid w:val="5FF7F2C7"/>
    <w:rsid w:val="65B74CB6"/>
    <w:rsid w:val="6B663A25"/>
    <w:rsid w:val="6BFC79E3"/>
    <w:rsid w:val="6EA82D04"/>
    <w:rsid w:val="6EAF23D5"/>
    <w:rsid w:val="6EF76C15"/>
    <w:rsid w:val="6EFF6553"/>
    <w:rsid w:val="6F67E39B"/>
    <w:rsid w:val="6F76260A"/>
    <w:rsid w:val="6FAF3C3B"/>
    <w:rsid w:val="6FDD9789"/>
    <w:rsid w:val="6FF7EF2A"/>
    <w:rsid w:val="6FFF5E04"/>
    <w:rsid w:val="70B5EABE"/>
    <w:rsid w:val="7167840B"/>
    <w:rsid w:val="7183DF54"/>
    <w:rsid w:val="73BA7190"/>
    <w:rsid w:val="765E68D2"/>
    <w:rsid w:val="769D949E"/>
    <w:rsid w:val="76FBEB6C"/>
    <w:rsid w:val="77CF40B1"/>
    <w:rsid w:val="77F7FA02"/>
    <w:rsid w:val="78EEFCC2"/>
    <w:rsid w:val="793F21BA"/>
    <w:rsid w:val="79D63ACE"/>
    <w:rsid w:val="7A4210CC"/>
    <w:rsid w:val="7A794C07"/>
    <w:rsid w:val="7AB72861"/>
    <w:rsid w:val="7ADF06B8"/>
    <w:rsid w:val="7B7E79DB"/>
    <w:rsid w:val="7B8E3FC2"/>
    <w:rsid w:val="7BDEDA43"/>
    <w:rsid w:val="7BDFB27C"/>
    <w:rsid w:val="7BE6902C"/>
    <w:rsid w:val="7BF6CF41"/>
    <w:rsid w:val="7BF7460E"/>
    <w:rsid w:val="7D7520B8"/>
    <w:rsid w:val="7D7D83FC"/>
    <w:rsid w:val="7D7F0C70"/>
    <w:rsid w:val="7DDFB5B4"/>
    <w:rsid w:val="7DFEF5A4"/>
    <w:rsid w:val="7DFF0252"/>
    <w:rsid w:val="7E0F9947"/>
    <w:rsid w:val="7E25E1ED"/>
    <w:rsid w:val="7EAEC7F9"/>
    <w:rsid w:val="7EBDBEB5"/>
    <w:rsid w:val="7EE757CC"/>
    <w:rsid w:val="7EF728E1"/>
    <w:rsid w:val="7EFB6E58"/>
    <w:rsid w:val="7F13E507"/>
    <w:rsid w:val="7F3F1C5D"/>
    <w:rsid w:val="7F7E5DD9"/>
    <w:rsid w:val="7FB590A5"/>
    <w:rsid w:val="7FBB13DC"/>
    <w:rsid w:val="7FBB813D"/>
    <w:rsid w:val="7FDF92FB"/>
    <w:rsid w:val="7FF28D3E"/>
    <w:rsid w:val="7FF76A5F"/>
    <w:rsid w:val="7FF7BE7B"/>
    <w:rsid w:val="7FFF2FB8"/>
    <w:rsid w:val="93DD252F"/>
    <w:rsid w:val="97FBA68B"/>
    <w:rsid w:val="AEEDFF68"/>
    <w:rsid w:val="AFBA92CB"/>
    <w:rsid w:val="AFFD5632"/>
    <w:rsid w:val="B2FE5548"/>
    <w:rsid w:val="B3EF14DE"/>
    <w:rsid w:val="B46FD550"/>
    <w:rsid w:val="B4DFDFC7"/>
    <w:rsid w:val="B67F64F7"/>
    <w:rsid w:val="B733F906"/>
    <w:rsid w:val="BABD02BE"/>
    <w:rsid w:val="BBF78DC1"/>
    <w:rsid w:val="BC3E37D4"/>
    <w:rsid w:val="BD6FEC8F"/>
    <w:rsid w:val="BE77F696"/>
    <w:rsid w:val="BEE6F7FC"/>
    <w:rsid w:val="BEFFE96C"/>
    <w:rsid w:val="BF77A872"/>
    <w:rsid w:val="BF7B437F"/>
    <w:rsid w:val="BF7B861A"/>
    <w:rsid w:val="BF7F5D7F"/>
    <w:rsid w:val="BFEF0F65"/>
    <w:rsid w:val="BFFD0761"/>
    <w:rsid w:val="BFFE4AC7"/>
    <w:rsid w:val="C7FFF70F"/>
    <w:rsid w:val="CCEDE08A"/>
    <w:rsid w:val="CDDEA4BF"/>
    <w:rsid w:val="CEBF44D5"/>
    <w:rsid w:val="D6EB4245"/>
    <w:rsid w:val="D77DF25A"/>
    <w:rsid w:val="D7DF6C2F"/>
    <w:rsid w:val="D8480C8F"/>
    <w:rsid w:val="DA5EF206"/>
    <w:rsid w:val="DBEDCE6E"/>
    <w:rsid w:val="DCBF60D4"/>
    <w:rsid w:val="DDCFEA7F"/>
    <w:rsid w:val="DDE370EF"/>
    <w:rsid w:val="DE7F4507"/>
    <w:rsid w:val="DEFD9A0E"/>
    <w:rsid w:val="DF9C44B1"/>
    <w:rsid w:val="DFFFDBFE"/>
    <w:rsid w:val="E1D7F5AC"/>
    <w:rsid w:val="E1FFE701"/>
    <w:rsid w:val="E5DFB1EE"/>
    <w:rsid w:val="E76EB817"/>
    <w:rsid w:val="E77FE52B"/>
    <w:rsid w:val="E77FFFDD"/>
    <w:rsid w:val="E91E2E1D"/>
    <w:rsid w:val="E9FA7A4C"/>
    <w:rsid w:val="E9FDA66B"/>
    <w:rsid w:val="EB77DF7B"/>
    <w:rsid w:val="EB9F3F16"/>
    <w:rsid w:val="EB9F8100"/>
    <w:rsid w:val="EBDA7284"/>
    <w:rsid w:val="EEBFF7E9"/>
    <w:rsid w:val="EED1E2D2"/>
    <w:rsid w:val="EEFA490E"/>
    <w:rsid w:val="EF9610C7"/>
    <w:rsid w:val="EFB9FB0B"/>
    <w:rsid w:val="EFBF3F1D"/>
    <w:rsid w:val="EFBF5929"/>
    <w:rsid w:val="EFEC1C14"/>
    <w:rsid w:val="EFEF19E2"/>
    <w:rsid w:val="EFEFBE06"/>
    <w:rsid w:val="EFFA2527"/>
    <w:rsid w:val="EFFD3943"/>
    <w:rsid w:val="F2F76FA1"/>
    <w:rsid w:val="F3AB449D"/>
    <w:rsid w:val="F5AFC22B"/>
    <w:rsid w:val="F6F146E5"/>
    <w:rsid w:val="F6F3BC2C"/>
    <w:rsid w:val="F73FED6E"/>
    <w:rsid w:val="F7BF2AE0"/>
    <w:rsid w:val="F7DF03B0"/>
    <w:rsid w:val="F8FE29D3"/>
    <w:rsid w:val="F92FC5AB"/>
    <w:rsid w:val="FAFDF2F0"/>
    <w:rsid w:val="FB2F8ABD"/>
    <w:rsid w:val="FB63BA59"/>
    <w:rsid w:val="FB6F378F"/>
    <w:rsid w:val="FBDA8673"/>
    <w:rsid w:val="FBED9AFE"/>
    <w:rsid w:val="FBF5C881"/>
    <w:rsid w:val="FBF71331"/>
    <w:rsid w:val="FBFEB62B"/>
    <w:rsid w:val="FCCD00A9"/>
    <w:rsid w:val="FCFD9455"/>
    <w:rsid w:val="FD7D5FA6"/>
    <w:rsid w:val="FDFB2A46"/>
    <w:rsid w:val="FDFB3BD7"/>
    <w:rsid w:val="FDFE4A55"/>
    <w:rsid w:val="FE1F8136"/>
    <w:rsid w:val="FE9FF07D"/>
    <w:rsid w:val="FED60D46"/>
    <w:rsid w:val="FEEF8778"/>
    <w:rsid w:val="FEF50A09"/>
    <w:rsid w:val="FEFF58F3"/>
    <w:rsid w:val="FEFF655D"/>
    <w:rsid w:val="FF85E274"/>
    <w:rsid w:val="FF8DF9EF"/>
    <w:rsid w:val="FF8F6DCB"/>
    <w:rsid w:val="FFA90B70"/>
    <w:rsid w:val="FFBFEAD1"/>
    <w:rsid w:val="FFCF6B82"/>
    <w:rsid w:val="FFD11D33"/>
    <w:rsid w:val="FFE3E761"/>
    <w:rsid w:val="FFF564BA"/>
    <w:rsid w:val="FFFFFE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600" w:lineRule="exact"/>
      <w:outlineLvl w:val="0"/>
    </w:pPr>
    <w:rPr>
      <w:rFonts w:eastAsia="黑体"/>
      <w:kern w:val="44"/>
      <w:sz w:val="32"/>
    </w:rPr>
  </w:style>
  <w:style w:type="paragraph" w:styleId="4">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5">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6">
    <w:name w:val="heading 4"/>
    <w:basedOn w:val="1"/>
    <w:next w:val="1"/>
    <w:qFormat/>
    <w:uiPriority w:val="0"/>
    <w:pPr>
      <w:spacing w:before="260" w:after="120" w:line="288" w:lineRule="auto"/>
      <w:jc w:val="left"/>
      <w:outlineLvl w:val="3"/>
    </w:pPr>
    <w:rPr>
      <w:rFonts w:ascii="Arial" w:hAnsi="Arial" w:eastAsia="等线" w:cs="Arial"/>
      <w:b/>
      <w:bCs/>
      <w:sz w:val="28"/>
      <w:szCs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libri Light" w:hAnsi="Calibri Light" w:eastAsia="宋体" w:cs="Times New Roman"/>
      <w:b/>
      <w:bCs/>
      <w:szCs w:val="32"/>
    </w:rPr>
  </w:style>
  <w:style w:type="paragraph" w:styleId="8">
    <w:name w:val="table of authorities"/>
    <w:basedOn w:val="1"/>
    <w:next w:val="1"/>
    <w:qFormat/>
    <w:uiPriority w:val="99"/>
    <w:pPr>
      <w:spacing w:line="360" w:lineRule="auto"/>
      <w:ind w:left="420"/>
      <w:jc w:val="left"/>
    </w:pPr>
    <w:rPr>
      <w:rFonts w:ascii="Times New Roman" w:hAnsi="Times New Roman"/>
    </w:rPr>
  </w:style>
  <w:style w:type="paragraph" w:styleId="9">
    <w:name w:val="Normal Indent"/>
    <w:basedOn w:val="1"/>
    <w:unhideWhenUsed/>
    <w:qFormat/>
    <w:uiPriority w:val="99"/>
    <w:pPr>
      <w:ind w:firstLine="420" w:firstLineChars="200"/>
    </w:pPr>
  </w:style>
  <w:style w:type="paragraph" w:styleId="10">
    <w:name w:val="Body Text"/>
    <w:basedOn w:val="1"/>
    <w:next w:val="11"/>
    <w:qFormat/>
    <w:uiPriority w:val="99"/>
    <w:pPr>
      <w:spacing w:after="120"/>
    </w:pPr>
    <w:rPr>
      <w:kern w:val="0"/>
      <w:sz w:val="20"/>
    </w:rPr>
  </w:style>
  <w:style w:type="paragraph" w:styleId="11">
    <w:name w:val="toc 2"/>
    <w:basedOn w:val="1"/>
    <w:next w:val="1"/>
    <w:unhideWhenUsed/>
    <w:qFormat/>
    <w:uiPriority w:val="39"/>
    <w:pPr>
      <w:ind w:firstLine="440" w:firstLineChars="200"/>
    </w:pPr>
  </w:style>
  <w:style w:type="paragraph" w:styleId="12">
    <w:name w:val="Body Text Indent"/>
    <w:basedOn w:val="1"/>
    <w:next w:val="9"/>
    <w:qFormat/>
    <w:uiPriority w:val="0"/>
    <w:pPr>
      <w:spacing w:after="120"/>
      <w:ind w:left="420" w:leftChars="200"/>
    </w:pPr>
    <w:rPr>
      <w:rFonts w:ascii="Calibri" w:hAnsi="Calibri"/>
    </w:rPr>
  </w:style>
  <w:style w:type="paragraph" w:styleId="13">
    <w:name w:val="Plain Text"/>
    <w:basedOn w:val="1"/>
    <w:qFormat/>
    <w:uiPriority w:val="0"/>
    <w:rPr>
      <w:rFonts w:ascii="宋体" w:hAnsi="Courier New" w:cs="Courier New"/>
      <w:szCs w:val="21"/>
    </w:rPr>
  </w:style>
  <w:style w:type="paragraph" w:styleId="14">
    <w:name w:val="footer"/>
    <w:basedOn w:val="1"/>
    <w:next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Body Text 2"/>
    <w:basedOn w:val="1"/>
    <w:qFormat/>
    <w:uiPriority w:val="0"/>
    <w:pPr>
      <w:spacing w:after="120" w:afterLines="0" w:afterAutospacing="0" w:line="480" w:lineRule="auto"/>
    </w:pPr>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8">
    <w:name w:val="Body Text First Indent"/>
    <w:basedOn w:val="10"/>
    <w:next w:val="19"/>
    <w:qFormat/>
    <w:uiPriority w:val="0"/>
    <w:pPr>
      <w:ind w:firstLine="420" w:firstLineChars="100"/>
    </w:pPr>
    <w:rPr>
      <w:kern w:val="2"/>
      <w:sz w:val="21"/>
    </w:rPr>
  </w:style>
  <w:style w:type="paragraph" w:styleId="19">
    <w:name w:val="Body Text First Indent 2"/>
    <w:basedOn w:val="12"/>
    <w:next w:val="1"/>
    <w:qFormat/>
    <w:uiPriority w:val="0"/>
    <w:pPr>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Emphasis"/>
    <w:basedOn w:val="22"/>
    <w:qFormat/>
    <w:uiPriority w:val="0"/>
    <w:rPr>
      <w:i/>
    </w:rPr>
  </w:style>
  <w:style w:type="paragraph" w:customStyle="1" w:styleId="25">
    <w:name w:val="BodyTextIndent"/>
    <w:basedOn w:val="1"/>
    <w:next w:val="14"/>
    <w:qFormat/>
    <w:uiPriority w:val="0"/>
    <w:pPr>
      <w:tabs>
        <w:tab w:val="left" w:pos="1276"/>
      </w:tabs>
      <w:suppressAutoHyphens/>
      <w:ind w:left="-480" w:leftChars="-150" w:firstLine="480" w:firstLineChars="150"/>
      <w:textAlignment w:val="baseline"/>
    </w:pPr>
    <w:rPr>
      <w:color w:val="000000"/>
    </w:rPr>
  </w:style>
  <w:style w:type="paragraph" w:customStyle="1" w:styleId="26">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27">
    <w:name w:val="NormalCharacter"/>
    <w:semiHidden/>
    <w:qFormat/>
    <w:uiPriority w:val="0"/>
    <w:rPr>
      <w:rFonts w:ascii="Calibri" w:hAnsi="Calibri" w:eastAsia="宋体"/>
      <w:kern w:val="2"/>
      <w:sz w:val="24"/>
      <w:lang w:val="en-US" w:eastAsia="zh-CN"/>
    </w:rPr>
  </w:style>
  <w:style w:type="character" w:customStyle="1" w:styleId="28">
    <w:name w:val="font31"/>
    <w:basedOn w:val="22"/>
    <w:qFormat/>
    <w:uiPriority w:val="0"/>
    <w:rPr>
      <w:rFonts w:hint="eastAsia" w:ascii="宋体" w:hAnsi="宋体" w:eastAsia="宋体" w:cs="宋体"/>
      <w:color w:val="FF0000"/>
      <w:sz w:val="22"/>
      <w:szCs w:val="22"/>
      <w:u w:val="none"/>
    </w:rPr>
  </w:style>
  <w:style w:type="character" w:customStyle="1" w:styleId="29">
    <w:name w:val="font21"/>
    <w:basedOn w:val="22"/>
    <w:qFormat/>
    <w:uiPriority w:val="0"/>
    <w:rPr>
      <w:rFonts w:hint="eastAsia" w:ascii="宋体" w:hAnsi="宋体" w:eastAsia="宋体" w:cs="宋体"/>
      <w:color w:val="000000"/>
      <w:sz w:val="22"/>
      <w:szCs w:val="22"/>
      <w:u w:val="none"/>
    </w:rPr>
  </w:style>
  <w:style w:type="paragraph" w:customStyle="1" w:styleId="30">
    <w:name w:val="纯文本1"/>
    <w:basedOn w:val="31"/>
    <w:qFormat/>
    <w:uiPriority w:val="0"/>
    <w:pPr>
      <w:spacing w:line="360" w:lineRule="auto"/>
      <w:ind w:firstLine="200" w:firstLineChars="200"/>
    </w:pPr>
    <w:rPr>
      <w:rFonts w:ascii="Times New Roman" w:hAnsi="Times New Roman" w:eastAsia="仿宋" w:cs="Courier New"/>
      <w:sz w:val="28"/>
      <w:szCs w:val="21"/>
    </w:rPr>
  </w:style>
  <w:style w:type="paragraph" w:customStyle="1" w:styleId="31">
    <w:name w:val="正文_0"/>
    <w:qFormat/>
    <w:uiPriority w:val="0"/>
    <w:pPr>
      <w:widowControl w:val="0"/>
      <w:suppressAutoHyphens/>
      <w:autoSpaceDN w:val="0"/>
      <w:jc w:val="both"/>
      <w:textAlignment w:val="baseline"/>
    </w:pPr>
    <w:rPr>
      <w:rFonts w:ascii="Calibri" w:hAnsi="Calibri" w:eastAsia="宋体" w:cs="Times New Roman"/>
      <w:kern w:val="3"/>
      <w:sz w:val="21"/>
      <w:szCs w:val="22"/>
      <w:lang w:val="en-US" w:eastAsia="zh-CN" w:bidi="ar-SA"/>
    </w:rPr>
  </w:style>
  <w:style w:type="paragraph" w:customStyle="1" w:styleId="32">
    <w:name w:val="_Style 13"/>
    <w:qFormat/>
    <w:uiPriority w:val="0"/>
    <w:pPr>
      <w:spacing w:before="120" w:after="120" w:line="288" w:lineRule="auto"/>
      <w:ind w:left="0"/>
      <w:jc w:val="left"/>
    </w:pPr>
    <w:rPr>
      <w:rFonts w:ascii="Arial" w:hAnsi="Arial" w:eastAsia="等线" w:cs="Arial"/>
      <w:sz w:val="22"/>
      <w:szCs w:val="22"/>
    </w:rPr>
  </w:style>
  <w:style w:type="character" w:customStyle="1" w:styleId="33">
    <w:name w:val="font41"/>
    <w:basedOn w:val="2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23129</Words>
  <Characters>24145</Characters>
  <Lines>0</Lines>
  <Paragraphs>0</Paragraphs>
  <TotalTime>33</TotalTime>
  <ScaleCrop>false</ScaleCrop>
  <LinksUpToDate>false</LinksUpToDate>
  <CharactersWithSpaces>24214</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2014-11-23T20:08:00Z</dcterms:created>
  <dc:creator>Administrator</dc:creator>
  <cp:lastModifiedBy>gxj</cp:lastModifiedBy>
  <cp:lastPrinted>2026-01-19T22:31:00Z</cp:lastPrinted>
  <dcterms:modified xsi:type="dcterms:W3CDTF">2026-01-28T14:52:49Z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83493D169CDC108941B2796954EFB4ED</vt:lpwstr>
  </property>
  <property fmtid="{D5CDD505-2E9C-101B-9397-08002B2CF9AE}" pid="4" name="KSOTemplateDocerSaveRecord">
    <vt:lpwstr>eyJoZGlkIjoiZDQ3OTc4NmRhNDYzM2IxNWUzMDJlMTBkZWE3ZDU4MzEiLCJ1c2VySWQiOiIyMTQxMjk5NjQifQ==</vt:lpwstr>
  </property>
</Properties>
</file>