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560" w:lineRule="exact"/>
        <w:ind w:firstLine="660" w:firstLineChars="150"/>
        <w:jc w:val="center"/>
        <w:rPr>
          <w:rFonts w:ascii="方正小标宋简体" w:hAnsi="宋体" w:eastAsia="方正小标宋简体"/>
          <w:sz w:val="44"/>
          <w:szCs w:val="44"/>
        </w:rPr>
      </w:pPr>
      <w:bookmarkStart w:id="1" w:name="_GoBack"/>
      <w:bookmarkEnd w:id="1"/>
    </w:p>
    <w:p>
      <w:pPr>
        <w:spacing w:line="560" w:lineRule="exact"/>
        <w:ind w:firstLine="660" w:firstLineChars="150"/>
        <w:jc w:val="center"/>
        <w:rPr>
          <w:rFonts w:ascii="方正小标宋简体" w:hAnsi="宋体" w:eastAsia="方正小标宋简体"/>
          <w:sz w:val="44"/>
          <w:szCs w:val="44"/>
        </w:rPr>
      </w:pPr>
    </w:p>
    <w:p>
      <w:pPr>
        <w:spacing w:line="560" w:lineRule="exact"/>
        <w:ind w:firstLine="660" w:firstLineChars="150"/>
        <w:jc w:val="center"/>
        <w:rPr>
          <w:rFonts w:ascii="方正小标宋简体" w:hAnsi="宋体" w:eastAsia="方正小标宋简体"/>
          <w:sz w:val="44"/>
          <w:szCs w:val="44"/>
        </w:rPr>
      </w:pPr>
    </w:p>
    <w:p>
      <w:pPr>
        <w:spacing w:line="560" w:lineRule="exact"/>
        <w:ind w:firstLine="660" w:firstLineChars="150"/>
        <w:jc w:val="center"/>
        <w:rPr>
          <w:rFonts w:ascii="方正小标宋简体" w:hAnsi="宋体" w:eastAsia="方正小标宋简体"/>
          <w:sz w:val="44"/>
          <w:szCs w:val="44"/>
        </w:rPr>
      </w:pPr>
    </w:p>
    <w:p>
      <w:pPr>
        <w:spacing w:line="560" w:lineRule="exact"/>
        <w:ind w:firstLine="660" w:firstLineChars="150"/>
        <w:jc w:val="center"/>
        <w:rPr>
          <w:rFonts w:ascii="方正小标宋简体" w:hAnsi="宋体" w:eastAsia="方正小标宋简体"/>
          <w:sz w:val="44"/>
          <w:szCs w:val="44"/>
        </w:rPr>
      </w:pPr>
    </w:p>
    <w:p>
      <w:pPr>
        <w:spacing w:line="560" w:lineRule="exact"/>
        <w:ind w:firstLine="660" w:firstLineChars="150"/>
        <w:jc w:val="center"/>
        <w:rPr>
          <w:rFonts w:ascii="方正小标宋简体" w:hAnsi="宋体" w:eastAsia="方正小标宋简体"/>
          <w:sz w:val="44"/>
          <w:szCs w:val="44"/>
        </w:rPr>
      </w:pPr>
    </w:p>
    <w:p>
      <w:pPr>
        <w:spacing w:line="560" w:lineRule="exact"/>
        <w:ind w:firstLine="660" w:firstLineChars="150"/>
        <w:jc w:val="center"/>
        <w:rPr>
          <w:rFonts w:ascii="方正小标宋简体" w:hAnsi="宋体" w:eastAsia="方正小标宋简体"/>
          <w:sz w:val="44"/>
          <w:szCs w:val="44"/>
        </w:rPr>
      </w:pPr>
    </w:p>
    <w:p>
      <w:pPr>
        <w:spacing w:line="560" w:lineRule="exact"/>
        <w:ind w:firstLine="660" w:firstLineChars="150"/>
        <w:jc w:val="center"/>
        <w:rPr>
          <w:rFonts w:ascii="方正小标宋简体" w:hAnsi="宋体" w:eastAsia="方正小标宋简体"/>
          <w:sz w:val="44"/>
          <w:szCs w:val="44"/>
        </w:rPr>
      </w:pPr>
    </w:p>
    <w:p>
      <w:pPr>
        <w:spacing w:line="560" w:lineRule="exact"/>
        <w:jc w:val="center"/>
        <w:rPr>
          <w:rFonts w:hint="eastAsia" w:ascii="方正小标宋简体" w:hAnsi="宋体" w:eastAsia="方正小标宋简体"/>
          <w:sz w:val="44"/>
          <w:szCs w:val="44"/>
        </w:rPr>
      </w:pPr>
      <w:r>
        <w:rPr>
          <w:rFonts w:hint="eastAsia" w:ascii="方正小标宋简体" w:hAnsi="宋体" w:eastAsia="方正小标宋简体"/>
          <w:sz w:val="44"/>
          <w:szCs w:val="44"/>
        </w:rPr>
        <w:t>2020年</w:t>
      </w:r>
      <w:r>
        <w:rPr>
          <w:rFonts w:hint="eastAsia" w:ascii="方正小标宋简体" w:hAnsi="宋体" w:eastAsia="方正小标宋简体"/>
          <w:sz w:val="44"/>
          <w:szCs w:val="44"/>
          <w:lang w:eastAsia="zh-CN"/>
        </w:rPr>
        <w:t>呼伦贝尔市扶贫开发办公室</w:t>
      </w:r>
      <w:r>
        <w:rPr>
          <w:rFonts w:hint="eastAsia" w:ascii="方正小标宋简体" w:hAnsi="宋体" w:eastAsia="方正小标宋简体"/>
          <w:sz w:val="44"/>
          <w:szCs w:val="44"/>
        </w:rPr>
        <w:t>部门预算公开及“三公”经费公开情况说明</w:t>
      </w:r>
    </w:p>
    <w:p>
      <w:pPr>
        <w:spacing w:line="560" w:lineRule="exact"/>
        <w:ind w:firstLine="662" w:firstLineChars="150"/>
        <w:jc w:val="center"/>
        <w:rPr>
          <w:rFonts w:ascii="方正小标宋简体" w:hAnsi="宋体" w:eastAsia="方正小标宋简体"/>
          <w:b/>
          <w:sz w:val="44"/>
          <w:szCs w:val="44"/>
        </w:rPr>
      </w:pPr>
    </w:p>
    <w:p>
      <w:pPr>
        <w:spacing w:line="560" w:lineRule="exact"/>
        <w:ind w:firstLine="662" w:firstLineChars="150"/>
        <w:jc w:val="center"/>
        <w:rPr>
          <w:rFonts w:ascii="方正小标宋简体" w:hAnsi="宋体" w:eastAsia="方正小标宋简体"/>
          <w:b/>
          <w:sz w:val="44"/>
          <w:szCs w:val="44"/>
        </w:rPr>
      </w:pPr>
    </w:p>
    <w:p>
      <w:pPr>
        <w:spacing w:line="560" w:lineRule="exact"/>
        <w:ind w:firstLine="660" w:firstLineChars="150"/>
        <w:jc w:val="center"/>
        <w:rPr>
          <w:rFonts w:ascii="方正小标宋简体" w:hAnsi="宋体" w:eastAsia="方正小标宋简体"/>
          <w:sz w:val="44"/>
          <w:szCs w:val="44"/>
        </w:rPr>
      </w:pPr>
    </w:p>
    <w:p>
      <w:pPr>
        <w:spacing w:line="560" w:lineRule="exact"/>
        <w:ind w:firstLine="660" w:firstLineChars="150"/>
        <w:jc w:val="center"/>
        <w:rPr>
          <w:rFonts w:ascii="方正小标宋简体" w:hAnsi="宋体" w:eastAsia="方正小标宋简体"/>
          <w:sz w:val="44"/>
          <w:szCs w:val="44"/>
        </w:rPr>
      </w:pPr>
    </w:p>
    <w:p>
      <w:pPr>
        <w:spacing w:line="560" w:lineRule="exact"/>
        <w:ind w:firstLine="660" w:firstLineChars="150"/>
        <w:jc w:val="center"/>
        <w:rPr>
          <w:rFonts w:ascii="方正小标宋简体" w:hAnsi="宋体" w:eastAsia="方正小标宋简体"/>
          <w:sz w:val="44"/>
          <w:szCs w:val="44"/>
        </w:rPr>
      </w:pPr>
    </w:p>
    <w:p>
      <w:pPr>
        <w:spacing w:line="560" w:lineRule="exact"/>
        <w:ind w:firstLine="660" w:firstLineChars="150"/>
        <w:jc w:val="center"/>
        <w:rPr>
          <w:rFonts w:ascii="方正小标宋简体" w:hAnsi="宋体" w:eastAsia="方正小标宋简体"/>
          <w:sz w:val="44"/>
          <w:szCs w:val="44"/>
        </w:rPr>
      </w:pPr>
    </w:p>
    <w:p>
      <w:pPr>
        <w:spacing w:line="560" w:lineRule="exact"/>
        <w:ind w:firstLine="660" w:firstLineChars="150"/>
        <w:jc w:val="center"/>
        <w:rPr>
          <w:rFonts w:ascii="方正小标宋简体" w:hAnsi="宋体" w:eastAsia="方正小标宋简体"/>
          <w:sz w:val="44"/>
          <w:szCs w:val="44"/>
        </w:rPr>
      </w:pPr>
    </w:p>
    <w:p>
      <w:pPr>
        <w:spacing w:line="560" w:lineRule="exact"/>
        <w:ind w:firstLine="660" w:firstLineChars="150"/>
        <w:jc w:val="center"/>
        <w:rPr>
          <w:rFonts w:ascii="方正小标宋简体" w:hAnsi="宋体" w:eastAsia="方正小标宋简体"/>
          <w:sz w:val="44"/>
          <w:szCs w:val="44"/>
        </w:rPr>
      </w:pPr>
    </w:p>
    <w:p>
      <w:pPr>
        <w:spacing w:line="560" w:lineRule="exact"/>
        <w:jc w:val="center"/>
        <w:rPr>
          <w:rFonts w:ascii="方正小标宋简体" w:hAnsi="宋体" w:eastAsia="方正小标宋简体"/>
          <w:sz w:val="32"/>
          <w:szCs w:val="32"/>
        </w:rPr>
      </w:pPr>
      <w:r>
        <w:rPr>
          <w:rFonts w:hint="eastAsia" w:ascii="方正小标宋简体" w:hAnsi="宋体" w:eastAsia="方正小标宋简体"/>
          <w:sz w:val="32"/>
          <w:szCs w:val="32"/>
        </w:rPr>
        <w:t>2020年5月26日</w:t>
      </w:r>
    </w:p>
    <w:p>
      <w:pPr>
        <w:adjustRightInd w:val="0"/>
        <w:snapToGrid w:val="0"/>
        <w:spacing w:line="560" w:lineRule="exact"/>
        <w:jc w:val="center"/>
        <w:rPr>
          <w:rFonts w:ascii="黑体" w:hAnsi="黑体" w:eastAsia="黑体" w:cs="黑体"/>
          <w:bCs/>
          <w:color w:val="000000"/>
          <w:sz w:val="36"/>
          <w:szCs w:val="36"/>
        </w:rPr>
      </w:pPr>
      <w:r>
        <w:rPr>
          <w:rFonts w:ascii="方正小标宋简体" w:hAnsi="宋体" w:eastAsia="方正小标宋简体"/>
          <w:sz w:val="44"/>
          <w:szCs w:val="44"/>
        </w:rPr>
        <w:br w:type="page"/>
      </w:r>
      <w:r>
        <w:rPr>
          <w:rFonts w:hint="eastAsia" w:ascii="黑体" w:hAnsi="黑体" w:eastAsia="黑体" w:cs="黑体"/>
          <w:bCs/>
          <w:color w:val="000000"/>
          <w:sz w:val="36"/>
          <w:szCs w:val="36"/>
        </w:rPr>
        <w:t>目  录</w:t>
      </w:r>
    </w:p>
    <w:p>
      <w:pPr>
        <w:adjustRightInd w:val="0"/>
        <w:snapToGrid w:val="0"/>
        <w:spacing w:line="560" w:lineRule="exact"/>
        <w:ind w:firstLine="640" w:firstLineChars="200"/>
        <w:rPr>
          <w:rFonts w:ascii="黑体" w:hAnsi="黑体" w:eastAsia="黑体" w:cs="黑体"/>
          <w:bCs/>
          <w:color w:val="000000"/>
          <w:sz w:val="32"/>
          <w:szCs w:val="32"/>
        </w:rPr>
      </w:pPr>
      <w:r>
        <w:rPr>
          <w:rFonts w:hint="eastAsia" w:ascii="黑体" w:hAnsi="黑体" w:eastAsia="黑体" w:cs="黑体"/>
          <w:bCs/>
          <w:color w:val="000000"/>
          <w:sz w:val="32"/>
          <w:szCs w:val="32"/>
        </w:rPr>
        <w:t>第一部分 部门概况</w:t>
      </w:r>
    </w:p>
    <w:p>
      <w:pPr>
        <w:adjustRightInd w:val="0"/>
        <w:snapToGrid w:val="0"/>
        <w:spacing w:line="560" w:lineRule="exact"/>
        <w:ind w:firstLine="800" w:firstLineChars="25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一、部门主要职能、工作职责</w:t>
      </w:r>
    </w:p>
    <w:p>
      <w:pPr>
        <w:adjustRightInd w:val="0"/>
        <w:snapToGrid w:val="0"/>
        <w:spacing w:line="560" w:lineRule="exact"/>
        <w:ind w:firstLine="800" w:firstLineChars="25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二、机构设置及预算单位构成情况</w:t>
      </w:r>
    </w:p>
    <w:p>
      <w:pPr>
        <w:adjustRightInd w:val="0"/>
        <w:snapToGrid w:val="0"/>
        <w:spacing w:line="560" w:lineRule="exact"/>
        <w:ind w:firstLine="640" w:firstLineChars="200"/>
        <w:rPr>
          <w:rFonts w:ascii="黑体" w:hAnsi="黑体" w:eastAsia="黑体" w:cs="黑体"/>
          <w:bCs/>
          <w:color w:val="000000"/>
          <w:sz w:val="32"/>
          <w:szCs w:val="32"/>
        </w:rPr>
      </w:pPr>
      <w:r>
        <w:rPr>
          <w:rFonts w:hint="eastAsia" w:ascii="黑体" w:hAnsi="黑体" w:eastAsia="黑体" w:cs="黑体"/>
          <w:bCs/>
          <w:color w:val="000000"/>
          <w:sz w:val="32"/>
          <w:szCs w:val="32"/>
        </w:rPr>
        <w:t>第二部分 2020年部门预算安排情况说明</w:t>
      </w:r>
    </w:p>
    <w:p>
      <w:pPr>
        <w:adjustRightInd w:val="0"/>
        <w:snapToGrid w:val="0"/>
        <w:spacing w:line="560" w:lineRule="exact"/>
        <w:ind w:firstLine="800" w:firstLineChars="25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一、部门预算收支总体情况说明</w:t>
      </w:r>
    </w:p>
    <w:p>
      <w:pPr>
        <w:adjustRightInd w:val="0"/>
        <w:snapToGrid w:val="0"/>
        <w:spacing w:line="560" w:lineRule="exact"/>
        <w:ind w:firstLine="800" w:firstLineChars="25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二、一般公共预算财政拨款收支情况说明 </w:t>
      </w:r>
    </w:p>
    <w:p>
      <w:pPr>
        <w:adjustRightInd w:val="0"/>
        <w:snapToGrid w:val="0"/>
        <w:spacing w:line="560" w:lineRule="exact"/>
        <w:ind w:firstLine="800" w:firstLineChars="250"/>
        <w:rPr>
          <w:rFonts w:ascii="仿宋_GB2312" w:hAnsi="仿宋_GB2312" w:eastAsia="仿宋_GB2312" w:cs="仿宋_GB2312"/>
          <w:color w:val="000000"/>
          <w:sz w:val="32"/>
          <w:szCs w:val="32"/>
        </w:rPr>
      </w:pPr>
      <w:r>
        <w:rPr>
          <w:rFonts w:hint="eastAsia" w:ascii="仿宋_GB2312" w:hAnsi="仿宋_GB2312" w:eastAsia="仿宋_GB2312" w:cs="仿宋_GB2312"/>
          <w:sz w:val="32"/>
          <w:szCs w:val="32"/>
        </w:rPr>
        <w:t>三、</w:t>
      </w:r>
      <w:r>
        <w:rPr>
          <w:rFonts w:hint="eastAsia" w:ascii="仿宋_GB2312" w:hAnsi="仿宋_GB2312" w:eastAsia="仿宋_GB2312" w:cs="仿宋_GB2312"/>
          <w:color w:val="000000"/>
          <w:sz w:val="32"/>
          <w:szCs w:val="32"/>
        </w:rPr>
        <w:t>政府性基金预算财政拨款支出情况说明</w:t>
      </w:r>
    </w:p>
    <w:p>
      <w:pPr>
        <w:adjustRightInd w:val="0"/>
        <w:snapToGrid w:val="0"/>
        <w:spacing w:line="560" w:lineRule="exact"/>
        <w:ind w:firstLine="800" w:firstLineChars="250"/>
        <w:rPr>
          <w:rFonts w:ascii="仿宋_GB2312" w:hAnsi="仿宋_GB2312" w:eastAsia="仿宋_GB2312" w:cs="仿宋_GB2312"/>
          <w:color w:val="000000"/>
          <w:sz w:val="32"/>
          <w:szCs w:val="32"/>
        </w:rPr>
      </w:pPr>
      <w:r>
        <w:rPr>
          <w:rFonts w:hint="eastAsia" w:ascii="仿宋_GB2312" w:hAnsi="仿宋_GB2312" w:eastAsia="仿宋_GB2312" w:cs="仿宋_GB2312"/>
          <w:sz w:val="32"/>
          <w:szCs w:val="32"/>
        </w:rPr>
        <w:t>四、</w:t>
      </w:r>
      <w:r>
        <w:rPr>
          <w:rFonts w:hint="eastAsia" w:ascii="仿宋_GB2312" w:hAnsi="仿宋_GB2312" w:eastAsia="仿宋_GB2312" w:cs="仿宋_GB2312"/>
          <w:color w:val="000000"/>
          <w:sz w:val="32"/>
          <w:szCs w:val="32"/>
        </w:rPr>
        <w:t>财政拨款“三公”经费预算情况说明</w:t>
      </w:r>
    </w:p>
    <w:p>
      <w:pPr>
        <w:adjustRightInd w:val="0"/>
        <w:snapToGrid w:val="0"/>
        <w:spacing w:line="560" w:lineRule="exact"/>
        <w:ind w:firstLine="640" w:firstLineChars="200"/>
        <w:rPr>
          <w:rFonts w:ascii="黑体" w:hAnsi="黑体" w:eastAsia="黑体" w:cs="黑体"/>
          <w:bCs/>
          <w:sz w:val="32"/>
          <w:szCs w:val="32"/>
        </w:rPr>
      </w:pPr>
      <w:r>
        <w:rPr>
          <w:rFonts w:hint="eastAsia" w:ascii="黑体" w:hAnsi="黑体" w:eastAsia="黑体" w:cs="黑体"/>
          <w:bCs/>
          <w:sz w:val="32"/>
          <w:szCs w:val="32"/>
        </w:rPr>
        <w:t>第三部分 其他公开事项说明</w:t>
      </w:r>
    </w:p>
    <w:p>
      <w:pPr>
        <w:adjustRightInd w:val="0"/>
        <w:snapToGrid w:val="0"/>
        <w:spacing w:line="560" w:lineRule="exact"/>
        <w:ind w:left="800"/>
        <w:rPr>
          <w:rFonts w:ascii="仿宋_GB2312" w:hAnsi="仿宋_GB2312" w:eastAsia="仿宋_GB2312" w:cs="仿宋_GB2312"/>
          <w:color w:val="000000"/>
          <w:sz w:val="32"/>
          <w:szCs w:val="32"/>
        </w:rPr>
      </w:pPr>
      <w:r>
        <w:rPr>
          <w:rFonts w:hint="eastAsia" w:ascii="仿宋_GB2312" w:hAnsi="仿宋_GB2312" w:eastAsia="仿宋_GB2312" w:cs="仿宋_GB2312"/>
          <w:sz w:val="32"/>
          <w:szCs w:val="32"/>
        </w:rPr>
        <w:t>一、机关运行经费安排情况</w:t>
      </w:r>
      <w:r>
        <w:rPr>
          <w:rFonts w:hint="eastAsia" w:ascii="仿宋_GB2312" w:hAnsi="仿宋_GB2312" w:eastAsia="仿宋_GB2312" w:cs="仿宋_GB2312"/>
          <w:color w:val="000000"/>
          <w:sz w:val="32"/>
          <w:szCs w:val="32"/>
        </w:rPr>
        <w:t>说明</w:t>
      </w:r>
    </w:p>
    <w:p>
      <w:pPr>
        <w:adjustRightInd w:val="0"/>
        <w:snapToGrid w:val="0"/>
        <w:spacing w:line="560" w:lineRule="exact"/>
        <w:ind w:left="800"/>
        <w:rPr>
          <w:rFonts w:ascii="仿宋_GB2312" w:hAnsi="仿宋_GB2312" w:eastAsia="仿宋_GB2312" w:cs="仿宋_GB2312"/>
          <w:sz w:val="32"/>
          <w:szCs w:val="32"/>
        </w:rPr>
      </w:pPr>
      <w:r>
        <w:rPr>
          <w:rFonts w:hint="eastAsia" w:ascii="仿宋_GB2312" w:hAnsi="仿宋_GB2312" w:eastAsia="仿宋_GB2312" w:cs="仿宋_GB2312"/>
          <w:sz w:val="32"/>
          <w:szCs w:val="32"/>
        </w:rPr>
        <w:t>二、事业运转经费安排情况说明</w:t>
      </w:r>
    </w:p>
    <w:p>
      <w:pPr>
        <w:adjustRightInd w:val="0"/>
        <w:snapToGrid w:val="0"/>
        <w:spacing w:line="560" w:lineRule="exact"/>
        <w:ind w:firstLine="800" w:firstLineChars="25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三、政府采购预算情况说明</w:t>
      </w:r>
    </w:p>
    <w:p>
      <w:pPr>
        <w:adjustRightInd w:val="0"/>
        <w:snapToGrid w:val="0"/>
        <w:spacing w:line="560" w:lineRule="exact"/>
        <w:ind w:firstLine="800" w:firstLineChars="25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四、国有资产占有使用情况说明</w:t>
      </w:r>
    </w:p>
    <w:p>
      <w:pPr>
        <w:adjustRightInd w:val="0"/>
        <w:snapToGrid w:val="0"/>
        <w:spacing w:line="560" w:lineRule="exact"/>
        <w:ind w:firstLine="800" w:firstLineChars="250"/>
        <w:rPr>
          <w:rFonts w:ascii="仿宋_GB2312" w:hAnsi="仿宋_GB2312" w:eastAsia="仿宋_GB2312" w:cs="仿宋_GB2312"/>
          <w:color w:val="000000"/>
          <w:sz w:val="32"/>
          <w:szCs w:val="32"/>
        </w:rPr>
      </w:pPr>
      <w:r>
        <w:rPr>
          <w:rFonts w:hint="eastAsia" w:ascii="仿宋_GB2312" w:hAnsi="仿宋_GB2312" w:eastAsia="仿宋_GB2312" w:cs="仿宋_GB2312"/>
          <w:sz w:val="32"/>
          <w:szCs w:val="32"/>
        </w:rPr>
        <w:t>五、项目支出绩效目标情况</w:t>
      </w:r>
      <w:r>
        <w:rPr>
          <w:rFonts w:hint="eastAsia" w:ascii="仿宋_GB2312" w:hAnsi="仿宋_GB2312" w:eastAsia="仿宋_GB2312" w:cs="仿宋_GB2312"/>
          <w:color w:val="000000"/>
          <w:sz w:val="32"/>
          <w:szCs w:val="32"/>
        </w:rPr>
        <w:t>说明</w:t>
      </w:r>
    </w:p>
    <w:p>
      <w:pPr>
        <w:adjustRightInd w:val="0"/>
        <w:snapToGrid w:val="0"/>
        <w:spacing w:line="560" w:lineRule="exact"/>
        <w:ind w:firstLine="640" w:firstLineChars="200"/>
        <w:rPr>
          <w:rFonts w:ascii="黑体" w:hAnsi="黑体" w:eastAsia="黑体" w:cs="黑体"/>
          <w:bCs/>
          <w:color w:val="000000"/>
          <w:sz w:val="32"/>
          <w:szCs w:val="32"/>
        </w:rPr>
      </w:pPr>
      <w:r>
        <w:rPr>
          <w:rFonts w:hint="eastAsia" w:ascii="黑体" w:hAnsi="黑体" w:eastAsia="黑体" w:cs="黑体"/>
          <w:bCs/>
          <w:color w:val="000000"/>
          <w:sz w:val="32"/>
          <w:szCs w:val="32"/>
        </w:rPr>
        <w:t>第四部分 名词解释</w:t>
      </w:r>
    </w:p>
    <w:p>
      <w:pPr>
        <w:adjustRightInd w:val="0"/>
        <w:snapToGrid w:val="0"/>
        <w:spacing w:line="560" w:lineRule="exact"/>
        <w:ind w:firstLine="640" w:firstLineChars="200"/>
        <w:rPr>
          <w:rFonts w:ascii="黑体" w:hAnsi="黑体" w:eastAsia="黑体" w:cs="黑体"/>
          <w:bCs/>
          <w:color w:val="000000"/>
          <w:sz w:val="32"/>
          <w:szCs w:val="32"/>
        </w:rPr>
      </w:pPr>
      <w:r>
        <w:rPr>
          <w:rFonts w:hint="eastAsia" w:ascii="黑体" w:hAnsi="黑体" w:eastAsia="黑体" w:cs="黑体"/>
          <w:bCs/>
          <w:color w:val="000000"/>
          <w:sz w:val="32"/>
          <w:szCs w:val="32"/>
        </w:rPr>
        <w:t>第五部分 预算公开联系方式及信息反馈渠道</w:t>
      </w:r>
    </w:p>
    <w:p>
      <w:pPr>
        <w:adjustRightInd w:val="0"/>
        <w:snapToGrid w:val="0"/>
        <w:spacing w:line="560" w:lineRule="exact"/>
        <w:ind w:firstLine="627" w:firstLineChars="196"/>
        <w:rPr>
          <w:rFonts w:ascii="黑体" w:hAnsi="黑体" w:eastAsia="黑体" w:cs="黑体"/>
          <w:bCs/>
          <w:color w:val="000000"/>
          <w:sz w:val="32"/>
          <w:szCs w:val="32"/>
        </w:rPr>
      </w:pPr>
      <w:r>
        <w:rPr>
          <w:rFonts w:hint="eastAsia" w:ascii="黑体" w:hAnsi="黑体" w:eastAsia="黑体" w:cs="黑体"/>
          <w:bCs/>
          <w:color w:val="000000"/>
          <w:sz w:val="32"/>
          <w:szCs w:val="32"/>
        </w:rPr>
        <w:t>第六部分 2020年部门预算公开表</w:t>
      </w:r>
    </w:p>
    <w:p>
      <w:pPr>
        <w:adjustRightInd w:val="0"/>
        <w:snapToGrid w:val="0"/>
        <w:spacing w:line="560" w:lineRule="exact"/>
        <w:ind w:firstLine="947" w:firstLineChars="295"/>
        <w:rPr>
          <w:rFonts w:ascii="楷体" w:hAnsi="楷体" w:eastAsia="楷体" w:cs="楷体"/>
          <w:b/>
          <w:color w:val="000000"/>
          <w:sz w:val="32"/>
          <w:szCs w:val="32"/>
        </w:rPr>
      </w:pPr>
      <w:r>
        <w:rPr>
          <w:rFonts w:hint="eastAsia" w:ascii="楷体" w:hAnsi="楷体" w:eastAsia="楷体" w:cs="楷体"/>
          <w:b/>
          <w:color w:val="000000"/>
          <w:sz w:val="32"/>
          <w:szCs w:val="32"/>
        </w:rPr>
        <w:t>一、部门预算公开报表</w:t>
      </w:r>
    </w:p>
    <w:p>
      <w:pPr>
        <w:adjustRightInd w:val="0"/>
        <w:snapToGrid w:val="0"/>
        <w:spacing w:line="560" w:lineRule="exact"/>
        <w:ind w:firstLine="1104" w:firstLineChars="345"/>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1.收支预算总表</w:t>
      </w:r>
    </w:p>
    <w:p>
      <w:pPr>
        <w:adjustRightInd w:val="0"/>
        <w:snapToGrid w:val="0"/>
        <w:spacing w:line="560" w:lineRule="exact"/>
        <w:ind w:firstLine="1104" w:firstLineChars="345"/>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2.收入预算总表</w:t>
      </w:r>
    </w:p>
    <w:p>
      <w:pPr>
        <w:adjustRightInd w:val="0"/>
        <w:snapToGrid w:val="0"/>
        <w:spacing w:line="560" w:lineRule="exact"/>
        <w:ind w:firstLine="1104" w:firstLineChars="345"/>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3.支出预算总表</w:t>
      </w:r>
    </w:p>
    <w:p>
      <w:pPr>
        <w:adjustRightInd w:val="0"/>
        <w:snapToGrid w:val="0"/>
        <w:spacing w:line="560" w:lineRule="exact"/>
        <w:ind w:firstLine="1104" w:firstLineChars="345"/>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4.财政拨款收支预算总表</w:t>
      </w:r>
    </w:p>
    <w:p>
      <w:pPr>
        <w:adjustRightInd w:val="0"/>
        <w:snapToGrid w:val="0"/>
        <w:spacing w:line="560" w:lineRule="exact"/>
        <w:ind w:firstLine="1104" w:firstLineChars="345"/>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5.一般公共预算支出预算表</w:t>
      </w:r>
    </w:p>
    <w:p>
      <w:pPr>
        <w:adjustRightInd w:val="0"/>
        <w:snapToGrid w:val="0"/>
        <w:spacing w:line="560" w:lineRule="exact"/>
        <w:ind w:firstLine="1104" w:firstLineChars="345"/>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6.财政拨款基本支出预算表</w:t>
      </w:r>
    </w:p>
    <w:p>
      <w:pPr>
        <w:adjustRightInd w:val="0"/>
        <w:snapToGrid w:val="0"/>
        <w:spacing w:line="560" w:lineRule="exact"/>
        <w:ind w:firstLine="1104" w:firstLineChars="345"/>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7.政府性基金预算收支表</w:t>
      </w:r>
    </w:p>
    <w:p>
      <w:pPr>
        <w:adjustRightInd w:val="0"/>
        <w:snapToGrid w:val="0"/>
        <w:spacing w:line="560" w:lineRule="exact"/>
        <w:ind w:firstLine="1104" w:firstLineChars="345"/>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8.财政拨款“三公经费”预算表</w:t>
      </w:r>
    </w:p>
    <w:p>
      <w:pPr>
        <w:adjustRightInd w:val="0"/>
        <w:snapToGrid w:val="0"/>
        <w:spacing w:line="560" w:lineRule="exact"/>
        <w:ind w:firstLine="1104" w:firstLineChars="345"/>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9.政府采购预算表</w:t>
      </w:r>
    </w:p>
    <w:p>
      <w:pPr>
        <w:adjustRightInd w:val="0"/>
        <w:snapToGrid w:val="0"/>
        <w:spacing w:line="560" w:lineRule="exact"/>
        <w:ind w:firstLine="1104" w:firstLineChars="345"/>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10.部门预算基本信息表  </w:t>
      </w:r>
    </w:p>
    <w:p>
      <w:pPr>
        <w:adjustRightInd w:val="0"/>
        <w:snapToGrid w:val="0"/>
        <w:spacing w:line="560" w:lineRule="exact"/>
        <w:ind w:firstLine="1104" w:firstLineChars="345"/>
        <w:rPr>
          <w:rFonts w:ascii="仿宋_GB2312" w:hAnsi="仿宋_GB2312" w:eastAsia="仿宋_GB2312" w:cs="仿宋_GB2312"/>
          <w:sz w:val="32"/>
          <w:szCs w:val="32"/>
        </w:rPr>
      </w:pPr>
      <w:r>
        <w:rPr>
          <w:rFonts w:hint="eastAsia" w:ascii="仿宋_GB2312" w:hAnsi="仿宋_GB2312" w:eastAsia="仿宋_GB2312" w:cs="仿宋_GB2312"/>
          <w:sz w:val="32"/>
          <w:szCs w:val="32"/>
        </w:rPr>
        <w:t>11．机关运行经费预算表</w:t>
      </w:r>
    </w:p>
    <w:p>
      <w:pPr>
        <w:adjustRightInd w:val="0"/>
        <w:snapToGrid w:val="0"/>
        <w:spacing w:line="560" w:lineRule="exact"/>
        <w:ind w:firstLine="1104" w:firstLineChars="345"/>
        <w:rPr>
          <w:rFonts w:ascii="仿宋_GB2312" w:hAnsi="仿宋_GB2312" w:eastAsia="仿宋_GB2312" w:cs="仿宋_GB2312"/>
          <w:sz w:val="32"/>
          <w:szCs w:val="32"/>
        </w:rPr>
      </w:pPr>
      <w:r>
        <w:rPr>
          <w:rFonts w:hint="eastAsia" w:ascii="仿宋_GB2312" w:hAnsi="仿宋_GB2312" w:eastAsia="仿宋_GB2312" w:cs="仿宋_GB2312"/>
          <w:sz w:val="32"/>
          <w:szCs w:val="32"/>
        </w:rPr>
        <w:t>12．事业运转经费预算表</w:t>
      </w:r>
    </w:p>
    <w:p>
      <w:pPr>
        <w:adjustRightInd w:val="0"/>
        <w:snapToGrid w:val="0"/>
        <w:spacing w:line="560" w:lineRule="exact"/>
        <w:ind w:firstLine="947" w:firstLineChars="295"/>
        <w:rPr>
          <w:rFonts w:ascii="楷体" w:hAnsi="楷体" w:eastAsia="楷体" w:cs="楷体"/>
          <w:b/>
          <w:sz w:val="32"/>
          <w:szCs w:val="32"/>
        </w:rPr>
      </w:pPr>
      <w:r>
        <w:rPr>
          <w:rFonts w:hint="eastAsia" w:ascii="楷体" w:hAnsi="楷体" w:eastAsia="楷体" w:cs="楷体"/>
          <w:b/>
          <w:sz w:val="32"/>
          <w:szCs w:val="32"/>
        </w:rPr>
        <w:t>二、项目预算绩效目标申报表</w:t>
      </w:r>
    </w:p>
    <w:p>
      <w:pPr>
        <w:adjustRightInd w:val="0"/>
        <w:snapToGrid w:val="0"/>
        <w:spacing w:line="560" w:lineRule="exact"/>
        <w:ind w:firstLine="1104" w:firstLineChars="345"/>
        <w:rPr>
          <w:rFonts w:ascii="楷体_GB2312" w:hAnsi="黑体" w:eastAsia="楷体_GB2312"/>
          <w:color w:val="FF0000"/>
          <w:sz w:val="32"/>
          <w:szCs w:val="32"/>
        </w:rPr>
      </w:pPr>
    </w:p>
    <w:p>
      <w:pPr>
        <w:adjustRightInd w:val="0"/>
        <w:snapToGrid w:val="0"/>
        <w:spacing w:line="560" w:lineRule="exact"/>
        <w:ind w:firstLine="1104" w:firstLineChars="345"/>
        <w:rPr>
          <w:rFonts w:ascii="楷体_GB2312" w:hAnsi="黑体" w:eastAsia="楷体_GB2312"/>
          <w:color w:val="FF0000"/>
          <w:sz w:val="32"/>
          <w:szCs w:val="32"/>
        </w:rPr>
      </w:pPr>
    </w:p>
    <w:p>
      <w:pPr>
        <w:adjustRightInd w:val="0"/>
        <w:snapToGrid w:val="0"/>
        <w:spacing w:line="560" w:lineRule="exact"/>
        <w:ind w:firstLine="1104" w:firstLineChars="345"/>
        <w:rPr>
          <w:rFonts w:ascii="楷体_GB2312" w:hAnsi="黑体" w:eastAsia="楷体_GB2312"/>
          <w:color w:val="FF0000"/>
          <w:sz w:val="32"/>
          <w:szCs w:val="32"/>
        </w:rPr>
      </w:pPr>
    </w:p>
    <w:p>
      <w:pPr>
        <w:adjustRightInd w:val="0"/>
        <w:snapToGrid w:val="0"/>
        <w:spacing w:line="560" w:lineRule="exact"/>
        <w:ind w:firstLine="1104" w:firstLineChars="345"/>
        <w:rPr>
          <w:rFonts w:ascii="楷体_GB2312" w:hAnsi="黑体" w:eastAsia="楷体_GB2312"/>
          <w:color w:val="FF0000"/>
          <w:sz w:val="32"/>
          <w:szCs w:val="32"/>
        </w:rPr>
      </w:pPr>
    </w:p>
    <w:p>
      <w:pPr>
        <w:spacing w:line="560" w:lineRule="exact"/>
        <w:jc w:val="center"/>
        <w:rPr>
          <w:rFonts w:hint="eastAsia" w:ascii="方正小标宋简体" w:hAnsi="宋体" w:eastAsia="方正小标宋简体"/>
          <w:sz w:val="44"/>
          <w:szCs w:val="44"/>
        </w:rPr>
      </w:pPr>
      <w:r>
        <w:rPr>
          <w:rFonts w:ascii="方正小标宋简体" w:hAnsi="宋体" w:eastAsia="方正小标宋简体"/>
          <w:sz w:val="44"/>
          <w:szCs w:val="44"/>
        </w:rPr>
        <w:br w:type="page"/>
      </w:r>
      <w:r>
        <w:rPr>
          <w:rFonts w:hint="eastAsia" w:ascii="方正小标宋简体" w:hAnsi="宋体" w:eastAsia="方正小标宋简体"/>
          <w:sz w:val="44"/>
          <w:szCs w:val="44"/>
        </w:rPr>
        <w:t>2020年</w:t>
      </w:r>
      <w:r>
        <w:rPr>
          <w:rFonts w:hint="eastAsia" w:ascii="方正小标宋简体" w:hAnsi="宋体" w:eastAsia="方正小标宋简体"/>
          <w:sz w:val="44"/>
          <w:szCs w:val="44"/>
          <w:lang w:eastAsia="zh-CN"/>
        </w:rPr>
        <w:t>呼伦贝尔市扶贫开发办公室</w:t>
      </w:r>
      <w:r>
        <w:rPr>
          <w:rFonts w:hint="eastAsia" w:ascii="方正小标宋简体" w:hAnsi="宋体" w:eastAsia="方正小标宋简体"/>
          <w:sz w:val="44"/>
          <w:szCs w:val="44"/>
        </w:rPr>
        <w:t>部门预算公开及“三公”经费公开情况说明</w:t>
      </w:r>
    </w:p>
    <w:p>
      <w:pPr>
        <w:spacing w:line="560" w:lineRule="exact"/>
        <w:rPr>
          <w:rFonts w:ascii="仿宋_GB2312" w:hAnsi="宋体" w:eastAsia="仿宋_GB2312"/>
          <w:sz w:val="32"/>
          <w:szCs w:val="32"/>
        </w:rPr>
      </w:pPr>
    </w:p>
    <w:p>
      <w:pPr>
        <w:spacing w:line="560" w:lineRule="exact"/>
        <w:ind w:firstLine="627" w:firstLineChars="196"/>
        <w:rPr>
          <w:rFonts w:ascii="仿宋_GB2312" w:hAnsi="宋体" w:eastAsia="仿宋_GB2312"/>
          <w:sz w:val="32"/>
          <w:szCs w:val="32"/>
        </w:rPr>
      </w:pPr>
      <w:r>
        <w:rPr>
          <w:rFonts w:hint="eastAsia" w:ascii="仿宋_GB2312" w:hAnsi="宋体" w:eastAsia="仿宋_GB2312"/>
          <w:sz w:val="32"/>
          <w:szCs w:val="32"/>
        </w:rPr>
        <w:t>根据《呼伦贝尔市人民政府办公厅关于印发〈呼伦贝尔市本级预决算公开方案〉的通知》（呼政办发</w:t>
      </w:r>
      <w:r>
        <w:rPr>
          <w:rFonts w:hint="eastAsia" w:ascii="仿宋_GB2312" w:hAnsi="仿宋_GB2312" w:eastAsia="仿宋_GB2312" w:cs="仿宋_GB2312"/>
          <w:sz w:val="32"/>
          <w:szCs w:val="32"/>
        </w:rPr>
        <w:t>〔2016〕</w:t>
      </w:r>
      <w:r>
        <w:rPr>
          <w:rFonts w:hint="eastAsia" w:ascii="仿宋_GB2312" w:hAnsi="宋体" w:eastAsia="仿宋_GB2312"/>
          <w:sz w:val="32"/>
          <w:szCs w:val="32"/>
        </w:rPr>
        <w:t>54号）、</w:t>
      </w:r>
      <w:r>
        <w:rPr>
          <w:rFonts w:hint="eastAsia" w:ascii="仿宋_GB2312" w:eastAsia="仿宋_GB2312"/>
          <w:sz w:val="32"/>
          <w:szCs w:val="32"/>
        </w:rPr>
        <w:t>《呼伦贝尔市关于进一步推进预算公开工作的实施方案》（呼政办字</w:t>
      </w:r>
      <w:r>
        <w:rPr>
          <w:rFonts w:hint="eastAsia" w:ascii="仿宋_GB2312" w:hAnsi="仿宋_GB2312" w:eastAsia="仿宋_GB2312" w:cs="仿宋_GB2312"/>
          <w:sz w:val="32"/>
          <w:szCs w:val="32"/>
        </w:rPr>
        <w:t>〔2016〕</w:t>
      </w:r>
      <w:r>
        <w:rPr>
          <w:rFonts w:hint="eastAsia" w:ascii="仿宋_GB2312" w:eastAsia="仿宋_GB2312"/>
          <w:sz w:val="32"/>
          <w:szCs w:val="32"/>
        </w:rPr>
        <w:t>126号）</w:t>
      </w:r>
      <w:r>
        <w:rPr>
          <w:rFonts w:hint="eastAsia"/>
          <w:sz w:val="32"/>
          <w:szCs w:val="32"/>
        </w:rPr>
        <w:t>、</w:t>
      </w:r>
      <w:r>
        <w:rPr>
          <w:rFonts w:hint="eastAsia" w:ascii="仿宋_GB2312" w:hAnsi="宋体" w:eastAsia="仿宋_GB2312"/>
          <w:sz w:val="32"/>
          <w:szCs w:val="32"/>
        </w:rPr>
        <w:t>《呼伦贝尔市财政局转发内蒙古自治区财政厅〈地方预决算公开操作规程〉的通知》（呼财预</w:t>
      </w:r>
      <w:r>
        <w:rPr>
          <w:rFonts w:hint="eastAsia" w:ascii="仿宋_GB2312" w:hAnsi="仿宋_GB2312" w:eastAsia="仿宋_GB2312" w:cs="仿宋_GB2312"/>
          <w:sz w:val="32"/>
          <w:szCs w:val="32"/>
        </w:rPr>
        <w:t>〔2016〕</w:t>
      </w:r>
      <w:r>
        <w:rPr>
          <w:rFonts w:hint="eastAsia" w:ascii="仿宋_GB2312" w:hAnsi="宋体" w:eastAsia="仿宋_GB2312"/>
          <w:sz w:val="32"/>
          <w:szCs w:val="32"/>
        </w:rPr>
        <w:t>1255号）文件要求，现将经市四届人大四次会议审议批准的呼伦贝尔市扶贫开发办公室2020年部门预算情况说明如下：</w:t>
      </w:r>
    </w:p>
    <w:p>
      <w:pPr>
        <w:spacing w:line="560" w:lineRule="exact"/>
        <w:ind w:firstLine="2515" w:firstLineChars="696"/>
        <w:rPr>
          <w:rFonts w:ascii="黑体" w:hAnsi="黑体" w:eastAsia="黑体"/>
          <w:b/>
          <w:sz w:val="36"/>
          <w:szCs w:val="36"/>
        </w:rPr>
      </w:pPr>
      <w:r>
        <w:rPr>
          <w:rFonts w:hint="eastAsia" w:ascii="黑体" w:hAnsi="黑体" w:eastAsia="黑体"/>
          <w:b/>
          <w:sz w:val="36"/>
          <w:szCs w:val="36"/>
        </w:rPr>
        <w:t>第一部分  部门概况</w:t>
      </w:r>
    </w:p>
    <w:p>
      <w:pPr>
        <w:spacing w:line="560" w:lineRule="exact"/>
        <w:ind w:firstLine="2505" w:firstLineChars="696"/>
        <w:rPr>
          <w:rFonts w:ascii="黑体" w:hAnsi="黑体" w:eastAsia="黑体"/>
          <w:sz w:val="36"/>
          <w:szCs w:val="36"/>
        </w:rPr>
      </w:pPr>
    </w:p>
    <w:p>
      <w:pPr>
        <w:spacing w:line="560" w:lineRule="exact"/>
        <w:ind w:firstLine="629" w:firstLineChars="196"/>
        <w:rPr>
          <w:rFonts w:ascii="黑体" w:hAnsi="宋体" w:eastAsia="黑体"/>
          <w:b/>
          <w:bCs/>
          <w:sz w:val="32"/>
          <w:szCs w:val="32"/>
        </w:rPr>
      </w:pPr>
      <w:r>
        <w:rPr>
          <w:rFonts w:hint="eastAsia" w:ascii="黑体" w:hAnsi="宋体" w:eastAsia="黑体"/>
          <w:b/>
          <w:bCs/>
          <w:sz w:val="32"/>
          <w:szCs w:val="32"/>
        </w:rPr>
        <w:t>一、部门主要职能、职责</w:t>
      </w:r>
    </w:p>
    <w:p>
      <w:pPr>
        <w:adjustRightInd w:val="0"/>
        <w:spacing w:before="100" w:beforeAutospacing="1" w:after="100" w:afterAutospacing="1" w:line="580" w:lineRule="exact"/>
        <w:ind w:right="-296" w:rightChars="-141" w:firstLine="600"/>
        <w:rPr>
          <w:rFonts w:ascii="仿宋_GB2312" w:eastAsia="仿宋_GB2312" w:cs="仿宋_GB2312"/>
          <w:sz w:val="32"/>
          <w:szCs w:val="32"/>
        </w:rPr>
      </w:pPr>
      <w:r>
        <w:rPr>
          <w:rFonts w:hint="eastAsia" w:ascii="仿宋_GB2312" w:eastAsia="仿宋_GB2312" w:cs="仿宋_GB2312"/>
          <w:sz w:val="32"/>
          <w:szCs w:val="32"/>
        </w:rPr>
        <w:t>(一)贯彻执行国家、自治区关于扶贫开发工作的法律法规及有关政策。开展有关扶贫开发政策研究，提出扶贫开发政策建议，拟订扶贫开发有关政策、规划、计划并组织实施。会同有关部门拟订行业扶贫开发政策并配合落实。指导旗市区开展有关工作。</w:t>
      </w:r>
    </w:p>
    <w:p>
      <w:pPr>
        <w:adjustRightInd w:val="0"/>
        <w:spacing w:before="100" w:beforeAutospacing="1" w:after="100" w:afterAutospacing="1" w:line="580" w:lineRule="exact"/>
        <w:ind w:right="-296" w:rightChars="-141" w:firstLine="600"/>
        <w:rPr>
          <w:rFonts w:ascii="仿宋_GB2312" w:eastAsia="仿宋_GB2312" w:cs="仿宋_GB2312" w:hAnsiTheme="minorHAnsi"/>
          <w:sz w:val="32"/>
          <w:szCs w:val="32"/>
        </w:rPr>
      </w:pPr>
      <w:r>
        <w:rPr>
          <w:rFonts w:hint="eastAsia" w:ascii="仿宋_GB2312" w:eastAsia="仿宋_GB2312" w:cs="仿宋_GB2312" w:hAnsiTheme="minorHAnsi"/>
          <w:sz w:val="32"/>
          <w:szCs w:val="32"/>
        </w:rPr>
        <w:t>(二)指导全市扶贫开发工作。指导全市产业扶贫工作，组织指导贫困村提升和项目库建设，组织指导扶贫培训和科技工作。参与拟定财政专项扶贫资金管理办法、发展资金分配方案。负责扶贫资金监督管理和绩效评价工作。组织推动金融扶贫工作。指导革命老区脱贫攻坚工作。</w:t>
      </w:r>
    </w:p>
    <w:p>
      <w:pPr>
        <w:adjustRightInd w:val="0"/>
        <w:spacing w:before="100" w:beforeAutospacing="1" w:after="100" w:afterAutospacing="1" w:line="580" w:lineRule="exact"/>
        <w:ind w:right="-296" w:rightChars="-141" w:firstLine="600"/>
        <w:rPr>
          <w:rFonts w:ascii="仿宋_GB2312" w:eastAsia="仿宋_GB2312" w:cs="仿宋_GB2312"/>
          <w:sz w:val="32"/>
          <w:szCs w:val="32"/>
        </w:rPr>
      </w:pPr>
      <w:r>
        <w:rPr>
          <w:rFonts w:hint="eastAsia" w:ascii="仿宋_GB2312" w:eastAsia="仿宋_GB2312" w:cs="仿宋_GB2312"/>
          <w:sz w:val="32"/>
          <w:szCs w:val="32"/>
        </w:rPr>
        <w:t xml:space="preserve">(三)负责扶贫信息化建设工作。指导开展扶贫对象动态调整、扶贫信息监测和精准扶贫大数据平台建设。负责扶 贫开发宣传、信息、舆情监控等工作。负责扶贫档案台账理工作。 </w:t>
      </w:r>
    </w:p>
    <w:p>
      <w:pPr>
        <w:adjustRightInd w:val="0"/>
        <w:spacing w:before="100" w:beforeAutospacing="1" w:after="100" w:afterAutospacing="1" w:line="580" w:lineRule="exact"/>
        <w:ind w:right="-296" w:rightChars="-141" w:firstLine="600"/>
        <w:rPr>
          <w:rFonts w:ascii="仿宋_GB2312" w:eastAsia="仿宋_GB2312" w:cs="仿宋_GB2312"/>
          <w:sz w:val="32"/>
          <w:szCs w:val="32"/>
        </w:rPr>
      </w:pPr>
      <w:r>
        <w:rPr>
          <w:rFonts w:hint="eastAsia" w:ascii="仿宋_GB2312" w:eastAsia="仿宋_GB2312" w:cs="仿宋_GB2312"/>
          <w:sz w:val="32"/>
          <w:szCs w:val="32"/>
        </w:rPr>
        <w:t>(四)负责扶贫项目监督考核相关工作。配合做好自治区对</w:t>
      </w:r>
      <w:r>
        <w:rPr>
          <w:rFonts w:hint="eastAsia" w:ascii="仿宋_GB2312" w:eastAsia="仿宋_GB2312" w:cs="仿宋_GB2312"/>
          <w:sz w:val="32"/>
          <w:szCs w:val="32"/>
          <w:lang w:eastAsia="zh-CN"/>
        </w:rPr>
        <w:t>市委、市政府</w:t>
      </w:r>
      <w:r>
        <w:rPr>
          <w:rFonts w:hint="eastAsia" w:ascii="仿宋_GB2312" w:eastAsia="仿宋_GB2312" w:cs="仿宋_GB2312"/>
          <w:sz w:val="32"/>
          <w:szCs w:val="32"/>
        </w:rPr>
        <w:t>扶贫开发成效考核工作。牵头组织旗市区扶贫开发成效考核工作。配合做好有关行业扶贫的考核工作。牵头开展全市扶贫开发的督查检查及问题整改工作。组织开展贫困退出工作。</w:t>
      </w:r>
    </w:p>
    <w:p>
      <w:pPr>
        <w:adjustRightInd w:val="0"/>
        <w:spacing w:before="100" w:beforeAutospacing="1" w:after="100" w:afterAutospacing="1" w:line="580" w:lineRule="exact"/>
        <w:ind w:right="-296" w:rightChars="-141" w:firstLine="600"/>
        <w:rPr>
          <w:rFonts w:ascii="仿宋_GB2312" w:eastAsia="仿宋_GB2312" w:cs="仿宋_GB2312"/>
          <w:sz w:val="32"/>
          <w:szCs w:val="32"/>
        </w:rPr>
      </w:pPr>
      <w:r>
        <w:rPr>
          <w:rFonts w:hint="eastAsia" w:ascii="仿宋_GB2312" w:eastAsia="仿宋_GB2312" w:cs="仿宋_GB2312"/>
          <w:sz w:val="32"/>
          <w:szCs w:val="32"/>
        </w:rPr>
        <w:t>(五)负责扶贫合作、协作工作。负责组织协调党政机关、企事业单位和社会各界参与扶贫开发，组织开展扶贫工作方面的交流与合作。负责京蒙扶贫协作、中央国家机关单位定点扶贫协调联络服务工作。会同有关部门组织市直机关、企事业单位开展定点帮扶工作。</w:t>
      </w:r>
    </w:p>
    <w:p>
      <w:pPr>
        <w:adjustRightInd w:val="0"/>
        <w:spacing w:before="100" w:beforeAutospacing="1" w:after="100" w:afterAutospacing="1" w:line="580" w:lineRule="exact"/>
        <w:ind w:firstLine="600"/>
        <w:rPr>
          <w:rFonts w:ascii="仿宋_GB2312" w:eastAsia="仿宋_GB2312" w:cs="仿宋_GB2312"/>
          <w:sz w:val="32"/>
          <w:szCs w:val="32"/>
        </w:rPr>
      </w:pPr>
      <w:r>
        <w:rPr>
          <w:rFonts w:hint="eastAsia" w:ascii="仿宋_GB2312" w:eastAsia="仿宋_GB2312" w:cs="仿宋_GB2312"/>
          <w:sz w:val="32"/>
          <w:szCs w:val="32"/>
        </w:rPr>
        <w:t>(六)完成市委、市政府和上级业务部门交办的其他工作。</w:t>
      </w:r>
    </w:p>
    <w:p>
      <w:pPr>
        <w:spacing w:line="560" w:lineRule="exact"/>
        <w:ind w:firstLine="629" w:firstLineChars="196"/>
        <w:rPr>
          <w:rFonts w:ascii="黑体" w:hAnsi="黑体" w:eastAsia="黑体"/>
          <w:b/>
          <w:sz w:val="32"/>
          <w:szCs w:val="32"/>
        </w:rPr>
      </w:pPr>
      <w:r>
        <w:rPr>
          <w:rFonts w:hint="eastAsia" w:ascii="黑体" w:hAnsi="宋体" w:eastAsia="黑体"/>
          <w:b/>
          <w:bCs/>
          <w:sz w:val="32"/>
          <w:szCs w:val="32"/>
        </w:rPr>
        <w:t>二、</w:t>
      </w:r>
      <w:r>
        <w:rPr>
          <w:rFonts w:hint="eastAsia" w:ascii="黑体" w:hAnsi="黑体" w:eastAsia="黑体"/>
          <w:b/>
          <w:bCs/>
          <w:color w:val="000000"/>
          <w:sz w:val="32"/>
          <w:szCs w:val="32"/>
        </w:rPr>
        <w:t>机构设置及预算单位构成情况</w:t>
      </w:r>
    </w:p>
    <w:p>
      <w:pPr>
        <w:spacing w:line="560" w:lineRule="exact"/>
        <w:ind w:firstLine="627" w:firstLineChars="196"/>
        <w:rPr>
          <w:rFonts w:ascii="仿宋_GB2312" w:hAnsi="宋体" w:eastAsia="仿宋_GB2312"/>
          <w:sz w:val="32"/>
          <w:szCs w:val="32"/>
        </w:rPr>
      </w:pPr>
      <w:r>
        <w:rPr>
          <w:rFonts w:hint="eastAsia" w:ascii="仿宋_GB2312" w:hAnsi="宋体" w:eastAsia="仿宋_GB2312"/>
          <w:sz w:val="32"/>
          <w:szCs w:val="32"/>
        </w:rPr>
        <w:t>1.从预算单位构成看，2020年呼伦贝尔市扶贫开发办公室部门预算包括：部门本级预算和部门所属事业单位预算，其中行政单位1家、参照公务员法管理的事业单位0家、公益一类事业单位1家、公益二类事业单位0家。</w:t>
      </w:r>
    </w:p>
    <w:p>
      <w:pPr>
        <w:spacing w:line="560" w:lineRule="exact"/>
        <w:ind w:firstLine="629" w:firstLineChars="196"/>
        <w:jc w:val="left"/>
        <w:rPr>
          <w:rFonts w:ascii="仿宋_GB2312" w:hAnsi="宋体" w:eastAsia="仿宋_GB2312"/>
          <w:b/>
          <w:sz w:val="32"/>
          <w:szCs w:val="32"/>
        </w:rPr>
      </w:pPr>
    </w:p>
    <w:p>
      <w:pPr>
        <w:spacing w:line="560" w:lineRule="exact"/>
        <w:ind w:firstLine="629" w:firstLineChars="196"/>
        <w:jc w:val="center"/>
        <w:rPr>
          <w:rFonts w:ascii="仿宋_GB2312" w:hAnsi="宋体" w:eastAsia="仿宋_GB2312"/>
          <w:b/>
          <w:sz w:val="32"/>
          <w:szCs w:val="32"/>
        </w:rPr>
      </w:pPr>
      <w:r>
        <w:rPr>
          <w:rFonts w:hint="eastAsia" w:ascii="仿宋_GB2312" w:hAnsi="宋体" w:eastAsia="仿宋_GB2312"/>
          <w:b/>
          <w:sz w:val="32"/>
          <w:szCs w:val="32"/>
        </w:rPr>
        <w:t>预算单位情况表</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4580"/>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spacing w:line="560" w:lineRule="exact"/>
              <w:jc w:val="center"/>
              <w:rPr>
                <w:rFonts w:ascii="仿宋_GB2312" w:hAnsi="宋体" w:eastAsia="仿宋_GB2312"/>
                <w:b/>
                <w:sz w:val="32"/>
                <w:szCs w:val="32"/>
              </w:rPr>
            </w:pPr>
            <w:r>
              <w:rPr>
                <w:rFonts w:hint="eastAsia" w:ascii="仿宋_GB2312" w:hAnsi="宋体" w:eastAsia="仿宋_GB2312"/>
                <w:b/>
                <w:sz w:val="32"/>
                <w:szCs w:val="32"/>
              </w:rPr>
              <w:t>序号</w:t>
            </w:r>
          </w:p>
        </w:tc>
        <w:tc>
          <w:tcPr>
            <w:tcW w:w="4580" w:type="dxa"/>
          </w:tcPr>
          <w:p>
            <w:pPr>
              <w:spacing w:line="560" w:lineRule="exact"/>
              <w:jc w:val="center"/>
              <w:rPr>
                <w:rFonts w:ascii="仿宋_GB2312" w:hAnsi="宋体" w:eastAsia="仿宋_GB2312"/>
                <w:b/>
                <w:sz w:val="32"/>
                <w:szCs w:val="32"/>
              </w:rPr>
            </w:pPr>
            <w:r>
              <w:rPr>
                <w:rFonts w:hint="eastAsia" w:ascii="仿宋_GB2312" w:hAnsi="宋体" w:eastAsia="仿宋_GB2312"/>
                <w:b/>
                <w:sz w:val="32"/>
                <w:szCs w:val="32"/>
              </w:rPr>
              <w:t>单位名称</w:t>
            </w:r>
          </w:p>
        </w:tc>
        <w:tc>
          <w:tcPr>
            <w:tcW w:w="2841" w:type="dxa"/>
          </w:tcPr>
          <w:p>
            <w:pPr>
              <w:spacing w:line="560" w:lineRule="exact"/>
              <w:jc w:val="center"/>
              <w:rPr>
                <w:rFonts w:ascii="仿宋_GB2312" w:hAnsi="宋体" w:eastAsia="仿宋_GB2312"/>
                <w:b/>
                <w:sz w:val="32"/>
                <w:szCs w:val="32"/>
              </w:rPr>
            </w:pPr>
            <w:r>
              <w:rPr>
                <w:rFonts w:hint="eastAsia" w:ascii="仿宋_GB2312" w:hAnsi="宋体" w:eastAsia="仿宋_GB2312"/>
                <w:b/>
                <w:sz w:val="32"/>
                <w:szCs w:val="32"/>
              </w:rPr>
              <w:t>单位性质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1101" w:type="dxa"/>
          </w:tcPr>
          <w:p>
            <w:pPr>
              <w:spacing w:line="560" w:lineRule="exact"/>
              <w:jc w:val="center"/>
              <w:rPr>
                <w:rFonts w:ascii="仿宋_GB2312" w:hAnsi="宋体" w:eastAsia="仿宋_GB2312"/>
                <w:b/>
                <w:sz w:val="32"/>
                <w:szCs w:val="32"/>
              </w:rPr>
            </w:pPr>
            <w:r>
              <w:rPr>
                <w:rFonts w:hint="eastAsia" w:ascii="仿宋_GB2312" w:hAnsi="宋体" w:eastAsia="仿宋_GB2312"/>
                <w:b/>
                <w:sz w:val="32"/>
                <w:szCs w:val="32"/>
              </w:rPr>
              <w:t>1</w:t>
            </w:r>
          </w:p>
        </w:tc>
        <w:tc>
          <w:tcPr>
            <w:tcW w:w="4580" w:type="dxa"/>
          </w:tcPr>
          <w:p>
            <w:pPr>
              <w:spacing w:line="560" w:lineRule="exact"/>
              <w:rPr>
                <w:rFonts w:ascii="仿宋_GB2312" w:hAnsi="宋体" w:eastAsia="仿宋_GB2312"/>
                <w:sz w:val="32"/>
                <w:szCs w:val="32"/>
              </w:rPr>
            </w:pPr>
            <w:r>
              <w:rPr>
                <w:rFonts w:hint="eastAsia" w:ascii="仿宋_GB2312" w:hAnsi="宋体" w:eastAsia="仿宋_GB2312"/>
                <w:sz w:val="32"/>
                <w:szCs w:val="32"/>
              </w:rPr>
              <w:t>呼伦贝尔市扶贫开发办公室</w:t>
            </w:r>
          </w:p>
        </w:tc>
        <w:tc>
          <w:tcPr>
            <w:tcW w:w="2841" w:type="dxa"/>
          </w:tcPr>
          <w:p>
            <w:pPr>
              <w:spacing w:line="560" w:lineRule="exact"/>
              <w:rPr>
                <w:rFonts w:ascii="仿宋_GB2312" w:hAnsi="宋体" w:eastAsia="仿宋_GB2312"/>
                <w:sz w:val="32"/>
                <w:szCs w:val="32"/>
              </w:rPr>
            </w:pPr>
            <w:r>
              <w:rPr>
                <w:rFonts w:hint="eastAsia" w:ascii="仿宋_GB2312" w:hAnsi="宋体" w:eastAsia="仿宋_GB2312"/>
                <w:sz w:val="32"/>
                <w:szCs w:val="32"/>
              </w:rPr>
              <w:t>行政机关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spacing w:line="560" w:lineRule="exact"/>
              <w:jc w:val="center"/>
              <w:rPr>
                <w:rFonts w:ascii="仿宋_GB2312" w:hAnsi="宋体" w:eastAsia="仿宋_GB2312"/>
                <w:b/>
                <w:sz w:val="32"/>
                <w:szCs w:val="32"/>
              </w:rPr>
            </w:pPr>
            <w:r>
              <w:rPr>
                <w:rFonts w:hint="eastAsia" w:ascii="仿宋_GB2312" w:hAnsi="宋体" w:eastAsia="仿宋_GB2312"/>
                <w:b/>
                <w:sz w:val="32"/>
                <w:szCs w:val="32"/>
              </w:rPr>
              <w:t>2</w:t>
            </w:r>
          </w:p>
        </w:tc>
        <w:tc>
          <w:tcPr>
            <w:tcW w:w="4580" w:type="dxa"/>
          </w:tcPr>
          <w:p>
            <w:pPr>
              <w:spacing w:line="560" w:lineRule="exact"/>
              <w:rPr>
                <w:rFonts w:ascii="仿宋_GB2312" w:hAnsi="宋体" w:eastAsia="仿宋_GB2312"/>
                <w:sz w:val="32"/>
                <w:szCs w:val="32"/>
              </w:rPr>
            </w:pPr>
            <w:r>
              <w:rPr>
                <w:rFonts w:hint="eastAsia" w:ascii="仿宋_GB2312" w:hAnsi="宋体" w:eastAsia="仿宋_GB2312"/>
                <w:sz w:val="32"/>
                <w:szCs w:val="32"/>
              </w:rPr>
              <w:t>呼伦贝尔市革命老区建设与扶贫项目管理站</w:t>
            </w:r>
          </w:p>
        </w:tc>
        <w:tc>
          <w:tcPr>
            <w:tcW w:w="2841" w:type="dxa"/>
          </w:tcPr>
          <w:p>
            <w:pPr>
              <w:spacing w:line="560" w:lineRule="exact"/>
              <w:rPr>
                <w:rFonts w:ascii="仿宋_GB2312" w:hAnsi="宋体" w:eastAsia="仿宋_GB2312"/>
                <w:sz w:val="32"/>
                <w:szCs w:val="32"/>
              </w:rPr>
            </w:pPr>
            <w:r>
              <w:rPr>
                <w:rFonts w:hint="eastAsia" w:ascii="仿宋_GB2312" w:hAnsi="宋体" w:eastAsia="仿宋_GB2312"/>
                <w:sz w:val="32"/>
                <w:szCs w:val="32"/>
              </w:rPr>
              <w:t>事业单位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spacing w:line="560" w:lineRule="exact"/>
              <w:jc w:val="center"/>
              <w:rPr>
                <w:rFonts w:ascii="仿宋_GB2312" w:hAnsi="宋体" w:eastAsia="仿宋_GB2312"/>
                <w:b/>
                <w:sz w:val="32"/>
                <w:szCs w:val="32"/>
              </w:rPr>
            </w:pPr>
            <w:r>
              <w:rPr>
                <w:rFonts w:hint="eastAsia" w:ascii="仿宋_GB2312" w:hAnsi="宋体" w:eastAsia="仿宋_GB2312"/>
                <w:b/>
                <w:sz w:val="32"/>
                <w:szCs w:val="32"/>
              </w:rPr>
              <w:t>3</w:t>
            </w:r>
          </w:p>
        </w:tc>
        <w:tc>
          <w:tcPr>
            <w:tcW w:w="4580" w:type="dxa"/>
          </w:tcPr>
          <w:p>
            <w:pPr>
              <w:spacing w:line="560" w:lineRule="exact"/>
              <w:rPr>
                <w:rFonts w:ascii="仿宋_GB2312" w:hAnsi="宋体" w:eastAsia="仿宋_GB2312"/>
                <w:sz w:val="32"/>
                <w:szCs w:val="32"/>
              </w:rPr>
            </w:pPr>
          </w:p>
        </w:tc>
        <w:tc>
          <w:tcPr>
            <w:tcW w:w="2841" w:type="dxa"/>
          </w:tcPr>
          <w:p>
            <w:pPr>
              <w:spacing w:line="560" w:lineRule="exact"/>
              <w:rPr>
                <w:rFonts w:ascii="仿宋_GB2312" w:hAnsi="宋体" w:eastAsia="仿宋_GB231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spacing w:line="560" w:lineRule="exact"/>
              <w:jc w:val="center"/>
              <w:rPr>
                <w:rFonts w:ascii="仿宋_GB2312" w:hAnsi="宋体" w:eastAsia="仿宋_GB2312"/>
                <w:b/>
                <w:sz w:val="32"/>
                <w:szCs w:val="32"/>
              </w:rPr>
            </w:pPr>
            <w:r>
              <w:rPr>
                <w:rFonts w:hint="eastAsia" w:ascii="仿宋_GB2312" w:hAnsi="宋体" w:eastAsia="仿宋_GB2312"/>
                <w:b/>
                <w:sz w:val="32"/>
                <w:szCs w:val="32"/>
              </w:rPr>
              <w:t>4</w:t>
            </w:r>
          </w:p>
        </w:tc>
        <w:tc>
          <w:tcPr>
            <w:tcW w:w="4580" w:type="dxa"/>
          </w:tcPr>
          <w:p>
            <w:pPr>
              <w:spacing w:line="560" w:lineRule="exact"/>
              <w:rPr>
                <w:rFonts w:ascii="仿宋_GB2312" w:hAnsi="宋体" w:eastAsia="仿宋_GB2312"/>
                <w:sz w:val="32"/>
                <w:szCs w:val="32"/>
              </w:rPr>
            </w:pPr>
          </w:p>
        </w:tc>
        <w:tc>
          <w:tcPr>
            <w:tcW w:w="2841" w:type="dxa"/>
          </w:tcPr>
          <w:p>
            <w:pPr>
              <w:spacing w:line="560" w:lineRule="exact"/>
              <w:rPr>
                <w:rFonts w:ascii="仿宋_GB2312" w:hAnsi="宋体" w:eastAsia="仿宋_GB2312"/>
                <w:sz w:val="32"/>
                <w:szCs w:val="32"/>
              </w:rPr>
            </w:pPr>
          </w:p>
        </w:tc>
      </w:tr>
    </w:tbl>
    <w:p>
      <w:pPr>
        <w:spacing w:line="560" w:lineRule="exact"/>
        <w:ind w:firstLine="645"/>
        <w:rPr>
          <w:rFonts w:ascii="仿宋_GB2312" w:hAnsi="宋体" w:eastAsia="仿宋_GB2312"/>
          <w:sz w:val="32"/>
          <w:szCs w:val="32"/>
        </w:rPr>
      </w:pPr>
      <w:r>
        <w:rPr>
          <w:rFonts w:hint="eastAsia" w:ascii="仿宋_GB2312" w:hAnsi="宋体" w:eastAsia="仿宋_GB2312"/>
          <w:sz w:val="32"/>
          <w:szCs w:val="32"/>
        </w:rPr>
        <w:t>2.人员基本情况：编制数39名，其中行政编制12名，参公编制0名、事业编制27名。实有在职37人、离休0人、退休4人、遗属0人。</w:t>
      </w:r>
    </w:p>
    <w:p>
      <w:pPr>
        <w:spacing w:line="560" w:lineRule="exact"/>
        <w:ind w:firstLine="705" w:firstLineChars="196"/>
        <w:rPr>
          <w:rFonts w:ascii="黑体" w:hAnsi="黑体" w:eastAsia="黑体"/>
          <w:sz w:val="36"/>
          <w:szCs w:val="36"/>
        </w:rPr>
      </w:pPr>
    </w:p>
    <w:p>
      <w:pPr>
        <w:spacing w:line="560" w:lineRule="exact"/>
        <w:ind w:firstLine="708" w:firstLineChars="196"/>
        <w:rPr>
          <w:rFonts w:ascii="黑体" w:hAnsi="黑体" w:eastAsia="黑体"/>
          <w:b/>
          <w:sz w:val="36"/>
          <w:szCs w:val="36"/>
        </w:rPr>
      </w:pPr>
      <w:r>
        <w:rPr>
          <w:rFonts w:hint="eastAsia" w:ascii="黑体" w:hAnsi="黑体" w:eastAsia="黑体"/>
          <w:b/>
          <w:sz w:val="36"/>
          <w:szCs w:val="36"/>
        </w:rPr>
        <w:t>第二部分 2020年部门预算安排情况说明</w:t>
      </w:r>
    </w:p>
    <w:p>
      <w:pPr>
        <w:spacing w:line="560" w:lineRule="exact"/>
        <w:ind w:firstLine="708" w:firstLineChars="196"/>
        <w:rPr>
          <w:rFonts w:ascii="黑体" w:hAnsi="黑体" w:eastAsia="黑体"/>
          <w:b/>
          <w:sz w:val="36"/>
          <w:szCs w:val="36"/>
        </w:rPr>
      </w:pPr>
    </w:p>
    <w:p>
      <w:pPr>
        <w:spacing w:line="560" w:lineRule="exact"/>
        <w:ind w:firstLine="629" w:firstLineChars="196"/>
        <w:outlineLvl w:val="0"/>
        <w:rPr>
          <w:rFonts w:ascii="黑体" w:hAnsi="宋体" w:eastAsia="黑体"/>
          <w:b/>
          <w:bCs/>
          <w:sz w:val="32"/>
          <w:szCs w:val="32"/>
        </w:rPr>
      </w:pPr>
      <w:r>
        <w:rPr>
          <w:rFonts w:hint="eastAsia" w:ascii="黑体" w:hAnsi="宋体" w:eastAsia="黑体"/>
          <w:b/>
          <w:bCs/>
          <w:sz w:val="32"/>
          <w:szCs w:val="32"/>
        </w:rPr>
        <w:t>一、2020年部门预算收支总体情况说明</w:t>
      </w:r>
    </w:p>
    <w:p>
      <w:pPr>
        <w:adjustRightInd w:val="0"/>
        <w:snapToGrid w:val="0"/>
        <w:spacing w:line="560" w:lineRule="exact"/>
        <w:ind w:firstLine="640"/>
        <w:rPr>
          <w:rFonts w:ascii="仿宋_GB2312" w:eastAsia="仿宋_GB2312"/>
          <w:sz w:val="32"/>
          <w:szCs w:val="32"/>
        </w:rPr>
      </w:pPr>
      <w:r>
        <w:rPr>
          <w:rFonts w:hint="eastAsia" w:ascii="仿宋_GB2312" w:eastAsia="仿宋_GB2312"/>
          <w:sz w:val="32"/>
          <w:szCs w:val="32"/>
        </w:rPr>
        <w:t>收入预算492.85万元，比2019年预算增加117.96万元，增长31.47%，增加主要是由于人员增加所致的工资福利支出和相应商品和服务支出增加。</w:t>
      </w:r>
    </w:p>
    <w:p>
      <w:pPr>
        <w:adjustRightInd w:val="0"/>
        <w:snapToGrid w:val="0"/>
        <w:spacing w:line="560" w:lineRule="exact"/>
        <w:ind w:firstLine="640"/>
        <w:rPr>
          <w:rFonts w:ascii="仿宋_GB2312" w:eastAsia="仿宋_GB2312"/>
          <w:sz w:val="32"/>
          <w:szCs w:val="32"/>
        </w:rPr>
      </w:pPr>
      <w:r>
        <w:rPr>
          <w:rFonts w:hint="eastAsia" w:ascii="仿宋_GB2312" w:eastAsia="仿宋_GB2312"/>
          <w:sz w:val="32"/>
          <w:szCs w:val="32"/>
        </w:rPr>
        <w:t>支出预算492.85万元，比2019年预算增加117.96万元，增长31.47%，增加主要是由于人员增加所致的工资福利支出和相应商品和服务支出增加。</w:t>
      </w:r>
    </w:p>
    <w:p>
      <w:pPr>
        <w:adjustRightInd w:val="0"/>
        <w:snapToGrid w:val="0"/>
        <w:spacing w:line="560" w:lineRule="exact"/>
        <w:ind w:firstLine="640"/>
        <w:rPr>
          <w:rFonts w:ascii="仿宋_GB2312" w:hAnsi="宋体" w:eastAsia="仿宋_GB2312"/>
          <w:b/>
          <w:sz w:val="32"/>
          <w:szCs w:val="32"/>
        </w:rPr>
      </w:pPr>
      <w:r>
        <w:rPr>
          <w:rFonts w:hint="eastAsia" w:ascii="楷体" w:hAnsi="楷体" w:eastAsia="楷体" w:cs="楷体"/>
          <w:b/>
          <w:sz w:val="32"/>
          <w:szCs w:val="32"/>
        </w:rPr>
        <w:t>（一）部门预算收入情况说明</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部门预算收入为492.85万元，其中：一般公共预算拨款收入492.85万元，占比100%；政府性基金预算拨款0万元，占比0%；事业收入0万元，占比0%；事业单位经营收入0万元，占比0%；其他收入0万元，占比0%，上年结转安排0万元，占比0%。</w:t>
      </w:r>
    </w:p>
    <w:p>
      <w:pPr>
        <w:spacing w:line="560" w:lineRule="exact"/>
        <w:ind w:firstLine="629" w:firstLineChars="196"/>
        <w:rPr>
          <w:rFonts w:ascii="楷体" w:hAnsi="楷体" w:eastAsia="楷体" w:cs="楷体"/>
          <w:b/>
          <w:sz w:val="32"/>
          <w:szCs w:val="32"/>
        </w:rPr>
      </w:pPr>
      <w:r>
        <w:rPr>
          <w:rFonts w:hint="eastAsia" w:ascii="楷体" w:hAnsi="楷体" w:eastAsia="楷体" w:cs="楷体"/>
          <w:b/>
          <w:sz w:val="32"/>
          <w:szCs w:val="32"/>
        </w:rPr>
        <w:t>（二）部门预算支出情况说明</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部门预算支出492.85万元，其中：基本支出492.85万元，占比100%；项目支出0万元，占比0%；事业单位经营支出0万元，占比0%。 </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主要用于人员工资、机构运转、专业活动等方面支出。</w:t>
      </w:r>
    </w:p>
    <w:p>
      <w:pPr>
        <w:spacing w:line="560" w:lineRule="exact"/>
        <w:ind w:firstLine="629" w:firstLineChars="196"/>
        <w:rPr>
          <w:rFonts w:ascii="楷体" w:hAnsi="楷体" w:eastAsia="楷体" w:cs="楷体"/>
          <w:b/>
          <w:sz w:val="32"/>
          <w:szCs w:val="32"/>
        </w:rPr>
      </w:pPr>
      <w:r>
        <w:rPr>
          <w:rFonts w:hint="eastAsia" w:ascii="楷体" w:hAnsi="楷体" w:eastAsia="楷体" w:cs="楷体"/>
          <w:b/>
          <w:sz w:val="32"/>
          <w:szCs w:val="32"/>
        </w:rPr>
        <w:t>（三）部门预算收支较上年增分析</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2020年部门预算收入、支出492.85万元，比上年增加117.96万元，增长31.47%，增加原因：人员增加所致的工资福利支出和相应商品和服务支出增加。</w:t>
      </w:r>
    </w:p>
    <w:p>
      <w:pPr>
        <w:spacing w:line="560" w:lineRule="exact"/>
        <w:ind w:firstLine="627" w:firstLineChars="196"/>
        <w:rPr>
          <w:rFonts w:ascii="黑体" w:hAnsi="黑体" w:eastAsia="黑体"/>
          <w:bCs/>
          <w:sz w:val="32"/>
          <w:szCs w:val="32"/>
        </w:rPr>
      </w:pPr>
      <w:r>
        <w:rPr>
          <w:rFonts w:hint="eastAsia" w:ascii="黑体" w:hAnsi="黑体" w:eastAsia="黑体"/>
          <w:bCs/>
          <w:sz w:val="32"/>
          <w:szCs w:val="32"/>
        </w:rPr>
        <w:t>二、一般公共预算财政拨款收支情况说明</w:t>
      </w:r>
    </w:p>
    <w:p>
      <w:pPr>
        <w:spacing w:line="560" w:lineRule="exact"/>
        <w:ind w:firstLine="629" w:firstLineChars="196"/>
        <w:rPr>
          <w:rFonts w:ascii="楷体" w:hAnsi="楷体" w:eastAsia="楷体" w:cs="楷体"/>
          <w:b/>
          <w:sz w:val="32"/>
          <w:szCs w:val="32"/>
        </w:rPr>
      </w:pPr>
      <w:r>
        <w:rPr>
          <w:rFonts w:hint="eastAsia" w:ascii="楷体" w:hAnsi="楷体" w:eastAsia="楷体" w:cs="楷体"/>
          <w:b/>
          <w:sz w:val="32"/>
          <w:szCs w:val="32"/>
        </w:rPr>
        <w:t>（一）财政拨款规模情况</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财政拨款收支预算492.85万元，包括一般公共预算财政拨款492.85万元、占比100%；政府性基金预算财政拨款0万元，占比0%；上年结转0万元，占比0%。较2019年增加117.96万元，增长31.47%，增加原因：人员增加所致的工资福利支出和相应商品和服务支出增加。</w:t>
      </w:r>
    </w:p>
    <w:p>
      <w:pPr>
        <w:spacing w:line="560" w:lineRule="exact"/>
        <w:ind w:firstLine="629" w:firstLineChars="196"/>
        <w:rPr>
          <w:rFonts w:ascii="楷体" w:hAnsi="楷体" w:eastAsia="楷体" w:cs="楷体"/>
          <w:b/>
          <w:sz w:val="32"/>
          <w:szCs w:val="32"/>
        </w:rPr>
      </w:pPr>
      <w:r>
        <w:rPr>
          <w:rFonts w:hint="eastAsia" w:ascii="楷体" w:hAnsi="楷体" w:eastAsia="楷体" w:cs="楷体"/>
          <w:b/>
          <w:sz w:val="32"/>
          <w:szCs w:val="32"/>
        </w:rPr>
        <w:t>（二）2020年一般公共预算财政拨款具体使用安排情况</w:t>
      </w:r>
    </w:p>
    <w:p>
      <w:pPr>
        <w:spacing w:line="560" w:lineRule="exact"/>
        <w:ind w:firstLine="627" w:firstLineChars="196"/>
        <w:rPr>
          <w:rFonts w:ascii="仿宋_GB2312" w:hAnsi="仿宋_GB2312" w:eastAsia="仿宋_GB2312" w:cs="仿宋_GB2312"/>
          <w:color w:val="000000" w:themeColor="text1"/>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b/>
          <w:sz w:val="32"/>
          <w:szCs w:val="32"/>
        </w:rPr>
        <w:t>201一般公共服务支出</w:t>
      </w:r>
      <w:r>
        <w:rPr>
          <w:rFonts w:hint="eastAsia" w:ascii="仿宋_GB2312" w:hAnsi="仿宋_GB2312" w:eastAsia="仿宋_GB2312" w:cs="仿宋_GB2312"/>
          <w:sz w:val="32"/>
          <w:szCs w:val="32"/>
        </w:rPr>
        <w:t>0万元，占比0%，较上年预算</w:t>
      </w:r>
      <w:r>
        <w:rPr>
          <w:rFonts w:hint="eastAsia" w:ascii="仿宋_GB2312" w:hAnsi="仿宋_GB2312" w:eastAsia="仿宋_GB2312" w:cs="仿宋_GB2312"/>
          <w:color w:val="000000" w:themeColor="text1"/>
          <w:sz w:val="32"/>
          <w:szCs w:val="32"/>
        </w:rPr>
        <w:t>数增加0万元，增加0%，与上年预算持平，我单位2020年无此类支出。</w:t>
      </w:r>
    </w:p>
    <w:p>
      <w:pPr>
        <w:spacing w:line="560" w:lineRule="exact"/>
        <w:ind w:firstLine="627" w:firstLineChars="196"/>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2.</w:t>
      </w:r>
      <w:r>
        <w:rPr>
          <w:rFonts w:hint="eastAsia" w:ascii="仿宋_GB2312" w:hAnsi="仿宋_GB2312" w:eastAsia="仿宋_GB2312" w:cs="仿宋_GB2312"/>
          <w:b/>
          <w:color w:val="000000" w:themeColor="text1"/>
          <w:sz w:val="32"/>
          <w:szCs w:val="32"/>
        </w:rPr>
        <w:t>203国防支出</w:t>
      </w:r>
      <w:r>
        <w:rPr>
          <w:rFonts w:hint="eastAsia" w:ascii="仿宋_GB2312" w:hAnsi="仿宋_GB2312" w:eastAsia="仿宋_GB2312" w:cs="仿宋_GB2312"/>
          <w:color w:val="000000" w:themeColor="text1"/>
          <w:sz w:val="32"/>
          <w:szCs w:val="32"/>
        </w:rPr>
        <w:t>0万元，占比0%，较上年预算数增加0万元，增加0%，与上年预算持平，我单位2020年无此类支出。</w:t>
      </w:r>
    </w:p>
    <w:p>
      <w:pPr>
        <w:spacing w:line="560" w:lineRule="exact"/>
        <w:ind w:firstLine="627" w:firstLineChars="196"/>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3.</w:t>
      </w:r>
      <w:r>
        <w:rPr>
          <w:rFonts w:hint="eastAsia" w:ascii="仿宋_GB2312" w:hAnsi="仿宋_GB2312" w:eastAsia="仿宋_GB2312" w:cs="仿宋_GB2312"/>
          <w:b/>
          <w:color w:val="000000" w:themeColor="text1"/>
          <w:sz w:val="32"/>
          <w:szCs w:val="32"/>
        </w:rPr>
        <w:t>204公共安全支出</w:t>
      </w:r>
      <w:r>
        <w:rPr>
          <w:rFonts w:hint="eastAsia" w:ascii="仿宋_GB2312" w:hAnsi="仿宋_GB2312" w:eastAsia="仿宋_GB2312" w:cs="仿宋_GB2312"/>
          <w:color w:val="000000" w:themeColor="text1"/>
          <w:sz w:val="32"/>
          <w:szCs w:val="32"/>
        </w:rPr>
        <w:t>0万元，占比0%，较上年预算数增加0万元，增加0%，与上年预算持平，我单位2020年无此类支出。</w:t>
      </w:r>
    </w:p>
    <w:p>
      <w:pPr>
        <w:spacing w:line="560" w:lineRule="exact"/>
        <w:ind w:firstLine="627" w:firstLineChars="196"/>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4.</w:t>
      </w:r>
      <w:r>
        <w:rPr>
          <w:rFonts w:hint="eastAsia" w:ascii="仿宋_GB2312" w:hAnsi="仿宋_GB2312" w:eastAsia="仿宋_GB2312" w:cs="仿宋_GB2312"/>
          <w:b/>
          <w:color w:val="000000" w:themeColor="text1"/>
          <w:sz w:val="32"/>
          <w:szCs w:val="32"/>
        </w:rPr>
        <w:t>205教育支出</w:t>
      </w:r>
      <w:r>
        <w:rPr>
          <w:rFonts w:hint="eastAsia" w:ascii="仿宋_GB2312" w:hAnsi="仿宋_GB2312" w:eastAsia="仿宋_GB2312" w:cs="仿宋_GB2312"/>
          <w:color w:val="000000" w:themeColor="text1"/>
          <w:sz w:val="32"/>
          <w:szCs w:val="32"/>
        </w:rPr>
        <w:t>0万元，占比0%，较上年预算数增加0万元，增加0%，与上年预算持平，我单位2020年无此类支出。</w:t>
      </w:r>
    </w:p>
    <w:p>
      <w:pPr>
        <w:spacing w:line="560" w:lineRule="exact"/>
        <w:ind w:firstLine="627" w:firstLineChars="196"/>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5.</w:t>
      </w:r>
      <w:r>
        <w:rPr>
          <w:rFonts w:hint="eastAsia" w:ascii="仿宋_GB2312" w:hAnsi="仿宋_GB2312" w:eastAsia="仿宋_GB2312" w:cs="仿宋_GB2312"/>
          <w:b/>
          <w:color w:val="000000" w:themeColor="text1"/>
          <w:sz w:val="32"/>
          <w:szCs w:val="32"/>
        </w:rPr>
        <w:t>206科学技术支出</w:t>
      </w:r>
      <w:r>
        <w:rPr>
          <w:rFonts w:hint="eastAsia" w:ascii="仿宋_GB2312" w:hAnsi="仿宋_GB2312" w:eastAsia="仿宋_GB2312" w:cs="仿宋_GB2312"/>
          <w:color w:val="000000" w:themeColor="text1"/>
          <w:sz w:val="32"/>
          <w:szCs w:val="32"/>
        </w:rPr>
        <w:t>0万元，占比0%，较上年预算数增加0万元，增加0%，与上年预算持平，我单位2020年无此类支出。</w:t>
      </w:r>
    </w:p>
    <w:p>
      <w:pPr>
        <w:spacing w:line="560" w:lineRule="exact"/>
        <w:ind w:firstLine="627" w:firstLineChars="196"/>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6.</w:t>
      </w:r>
      <w:r>
        <w:rPr>
          <w:rFonts w:hint="eastAsia" w:ascii="仿宋_GB2312" w:hAnsi="仿宋_GB2312" w:eastAsia="仿宋_GB2312" w:cs="仿宋_GB2312"/>
          <w:b/>
          <w:color w:val="000000" w:themeColor="text1"/>
          <w:sz w:val="32"/>
          <w:szCs w:val="32"/>
        </w:rPr>
        <w:t>207文化旅游体育与传媒支出</w:t>
      </w:r>
      <w:r>
        <w:rPr>
          <w:rFonts w:hint="eastAsia" w:ascii="仿宋_GB2312" w:hAnsi="仿宋_GB2312" w:eastAsia="仿宋_GB2312" w:cs="仿宋_GB2312"/>
          <w:color w:val="000000" w:themeColor="text1"/>
          <w:sz w:val="32"/>
          <w:szCs w:val="32"/>
        </w:rPr>
        <w:t>0万元，占比0%，较上年预算数增加0万元，增加0%，与上年预算持平，我单位2020年无此类支出。</w:t>
      </w:r>
    </w:p>
    <w:p>
      <w:pPr>
        <w:spacing w:line="560" w:lineRule="exact"/>
        <w:ind w:firstLine="627" w:firstLineChars="196"/>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7.</w:t>
      </w:r>
      <w:r>
        <w:rPr>
          <w:rFonts w:hint="eastAsia" w:ascii="仿宋_GB2312" w:hAnsi="仿宋_GB2312" w:eastAsia="仿宋_GB2312" w:cs="仿宋_GB2312"/>
          <w:b/>
          <w:color w:val="000000" w:themeColor="text1"/>
          <w:sz w:val="32"/>
          <w:szCs w:val="32"/>
        </w:rPr>
        <w:t>208社会保障和就业支出</w:t>
      </w:r>
      <w:r>
        <w:rPr>
          <w:rFonts w:hint="eastAsia" w:ascii="仿宋_GB2312" w:hAnsi="仿宋_GB2312" w:eastAsia="仿宋_GB2312" w:cs="仿宋_GB2312"/>
          <w:color w:val="000000" w:themeColor="text1"/>
          <w:sz w:val="32"/>
          <w:szCs w:val="32"/>
        </w:rPr>
        <w:t>45.71万元，占比9.27%，主要用于缴纳单位人员养老保险和职业年金及退休人员统筹项目外的地方津补贴。较上年预算数增加4.79万元， 增加原因：人员增加致其支出增加。</w:t>
      </w:r>
    </w:p>
    <w:p>
      <w:pPr>
        <w:spacing w:line="560" w:lineRule="exact"/>
        <w:ind w:firstLine="627" w:firstLineChars="196"/>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8.</w:t>
      </w:r>
      <w:r>
        <w:rPr>
          <w:rFonts w:hint="eastAsia" w:ascii="仿宋_GB2312" w:hAnsi="仿宋_GB2312" w:eastAsia="仿宋_GB2312" w:cs="仿宋_GB2312"/>
          <w:b/>
          <w:color w:val="000000" w:themeColor="text1"/>
          <w:sz w:val="32"/>
          <w:szCs w:val="32"/>
        </w:rPr>
        <w:t>210卫生健康支出</w:t>
      </w:r>
      <w:r>
        <w:rPr>
          <w:rFonts w:hint="eastAsia" w:ascii="仿宋_GB2312" w:hAnsi="仿宋_GB2312" w:eastAsia="仿宋_GB2312" w:cs="仿宋_GB2312"/>
          <w:color w:val="000000" w:themeColor="text1"/>
          <w:sz w:val="32"/>
          <w:szCs w:val="32"/>
        </w:rPr>
        <w:t>34.99万元，占比7.10%，主要用于缴纳单位人员医疗保险和医疗补助。较上年预算数增加10.91万元， 增加原因：人员增加致其支出增加。</w:t>
      </w:r>
    </w:p>
    <w:p>
      <w:pPr>
        <w:spacing w:line="560" w:lineRule="exact"/>
        <w:ind w:firstLine="627" w:firstLineChars="196"/>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9.</w:t>
      </w:r>
      <w:r>
        <w:rPr>
          <w:rFonts w:hint="eastAsia" w:ascii="仿宋_GB2312" w:hAnsi="仿宋_GB2312" w:eastAsia="仿宋_GB2312" w:cs="仿宋_GB2312"/>
          <w:b/>
          <w:color w:val="000000" w:themeColor="text1"/>
          <w:sz w:val="32"/>
          <w:szCs w:val="32"/>
        </w:rPr>
        <w:t>211节能环保支出</w:t>
      </w:r>
      <w:r>
        <w:rPr>
          <w:rFonts w:hint="eastAsia" w:ascii="仿宋_GB2312" w:hAnsi="仿宋_GB2312" w:eastAsia="仿宋_GB2312" w:cs="仿宋_GB2312"/>
          <w:color w:val="000000" w:themeColor="text1"/>
          <w:sz w:val="32"/>
          <w:szCs w:val="32"/>
        </w:rPr>
        <w:t>0万元，占比0%，较上年预算数增加0万元，增加0%，与上年预算持平，我单位2020年无此类支出。</w:t>
      </w:r>
    </w:p>
    <w:p>
      <w:pPr>
        <w:spacing w:line="560" w:lineRule="exact"/>
        <w:ind w:firstLine="627" w:firstLineChars="196"/>
        <w:rPr>
          <w:rFonts w:ascii="仿宋_GB2312" w:hAnsi="仿宋_GB2312" w:eastAsia="仿宋_GB2312" w:cs="仿宋_GB2312"/>
          <w:color w:val="000000" w:themeColor="text1"/>
          <w:sz w:val="32"/>
          <w:szCs w:val="32"/>
        </w:rPr>
      </w:pPr>
      <w:r>
        <w:rPr>
          <w:rFonts w:ascii="仿宋_GB2312" w:hAnsi="仿宋_GB2312" w:eastAsia="仿宋_GB2312" w:cs="仿宋_GB2312"/>
          <w:color w:val="000000" w:themeColor="text1"/>
          <w:sz w:val="32"/>
          <w:szCs w:val="32"/>
        </w:rPr>
        <w:t xml:space="preserve"> </w:t>
      </w:r>
    </w:p>
    <w:p>
      <w:pPr>
        <w:spacing w:line="560" w:lineRule="exact"/>
        <w:ind w:firstLine="627" w:firstLineChars="196"/>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10.</w:t>
      </w:r>
      <w:r>
        <w:rPr>
          <w:rFonts w:hint="eastAsia" w:ascii="仿宋_GB2312" w:hAnsi="仿宋_GB2312" w:eastAsia="仿宋_GB2312" w:cs="仿宋_GB2312"/>
          <w:b/>
          <w:color w:val="000000" w:themeColor="text1"/>
          <w:sz w:val="32"/>
          <w:szCs w:val="32"/>
        </w:rPr>
        <w:t>212城乡社区支出</w:t>
      </w:r>
      <w:r>
        <w:rPr>
          <w:rFonts w:hint="eastAsia" w:ascii="仿宋_GB2312" w:hAnsi="仿宋_GB2312" w:eastAsia="仿宋_GB2312" w:cs="仿宋_GB2312"/>
          <w:color w:val="000000" w:themeColor="text1"/>
          <w:sz w:val="32"/>
          <w:szCs w:val="32"/>
        </w:rPr>
        <w:t>0万元，占比0%，较上年预算数增加0万元，增加0%，与上年预算持平，我单位2020年无此类支出。</w:t>
      </w:r>
    </w:p>
    <w:p>
      <w:pPr>
        <w:spacing w:line="560" w:lineRule="exact"/>
        <w:ind w:firstLine="627" w:firstLineChars="196"/>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11.</w:t>
      </w:r>
      <w:r>
        <w:rPr>
          <w:rFonts w:hint="eastAsia" w:ascii="仿宋_GB2312" w:hAnsi="仿宋_GB2312" w:eastAsia="仿宋_GB2312" w:cs="仿宋_GB2312"/>
          <w:b/>
          <w:color w:val="000000" w:themeColor="text1"/>
          <w:sz w:val="32"/>
          <w:szCs w:val="32"/>
        </w:rPr>
        <w:t>213农林水支出</w:t>
      </w:r>
      <w:r>
        <w:rPr>
          <w:rFonts w:hint="eastAsia" w:ascii="仿宋_GB2312" w:hAnsi="仿宋_GB2312" w:eastAsia="仿宋_GB2312" w:cs="仿宋_GB2312"/>
          <w:color w:val="000000" w:themeColor="text1"/>
          <w:sz w:val="32"/>
          <w:szCs w:val="32"/>
        </w:rPr>
        <w:t>376.47万元，占比76.39%，主要用于人员的工资福利支出和机构运行。较上年预算数增加91.82万元， 增加原因：人员增加所致的工资福利支出和相应商品和服务支出增加。</w:t>
      </w:r>
    </w:p>
    <w:p>
      <w:pPr>
        <w:spacing w:line="560" w:lineRule="exact"/>
        <w:ind w:firstLine="627" w:firstLineChars="196"/>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12.</w:t>
      </w:r>
      <w:r>
        <w:rPr>
          <w:rFonts w:hint="eastAsia" w:ascii="仿宋_GB2312" w:hAnsi="仿宋_GB2312" w:eastAsia="仿宋_GB2312" w:cs="仿宋_GB2312"/>
          <w:b/>
          <w:color w:val="000000" w:themeColor="text1"/>
          <w:sz w:val="32"/>
          <w:szCs w:val="32"/>
        </w:rPr>
        <w:t>214交通运输支出</w:t>
      </w:r>
      <w:r>
        <w:rPr>
          <w:rFonts w:hint="eastAsia" w:ascii="仿宋_GB2312" w:hAnsi="仿宋_GB2312" w:eastAsia="仿宋_GB2312" w:cs="仿宋_GB2312"/>
          <w:color w:val="000000" w:themeColor="text1"/>
          <w:sz w:val="32"/>
          <w:szCs w:val="32"/>
        </w:rPr>
        <w:t>0万元，占比0%，较上年预算数增加0万元，增加0%，与上年预算持平，我单位2020年无此类支出。</w:t>
      </w:r>
    </w:p>
    <w:p>
      <w:pPr>
        <w:spacing w:line="560" w:lineRule="exact"/>
        <w:ind w:firstLine="627" w:firstLineChars="196"/>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 xml:space="preserve"> 13.</w:t>
      </w:r>
      <w:r>
        <w:rPr>
          <w:rFonts w:hint="eastAsia" w:ascii="仿宋_GB2312" w:hAnsi="仿宋_GB2312" w:eastAsia="仿宋_GB2312" w:cs="仿宋_GB2312"/>
          <w:b/>
          <w:color w:val="000000" w:themeColor="text1"/>
          <w:sz w:val="32"/>
          <w:szCs w:val="32"/>
        </w:rPr>
        <w:t>215资源勘探工业信息等支出</w:t>
      </w:r>
      <w:r>
        <w:rPr>
          <w:rFonts w:hint="eastAsia" w:ascii="仿宋_GB2312" w:hAnsi="仿宋_GB2312" w:eastAsia="仿宋_GB2312" w:cs="仿宋_GB2312"/>
          <w:color w:val="000000" w:themeColor="text1"/>
          <w:sz w:val="32"/>
          <w:szCs w:val="32"/>
        </w:rPr>
        <w:t>0万元，占比0%，较上年预算数增加0万元，增加0%，与上年预算持平，我单位2020年无此类支出。</w:t>
      </w:r>
    </w:p>
    <w:p>
      <w:pPr>
        <w:spacing w:line="560" w:lineRule="exact"/>
        <w:ind w:firstLine="627" w:firstLineChars="196"/>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14.</w:t>
      </w:r>
      <w:r>
        <w:rPr>
          <w:rFonts w:hint="eastAsia" w:ascii="仿宋_GB2312" w:hAnsi="仿宋_GB2312" w:eastAsia="仿宋_GB2312" w:cs="仿宋_GB2312"/>
          <w:b/>
          <w:color w:val="000000" w:themeColor="text1"/>
          <w:sz w:val="32"/>
          <w:szCs w:val="32"/>
        </w:rPr>
        <w:t>216商业服务业等支出</w:t>
      </w:r>
      <w:r>
        <w:rPr>
          <w:rFonts w:hint="eastAsia" w:ascii="仿宋_GB2312" w:hAnsi="仿宋_GB2312" w:eastAsia="仿宋_GB2312" w:cs="仿宋_GB2312"/>
          <w:color w:val="000000" w:themeColor="text1"/>
          <w:sz w:val="32"/>
          <w:szCs w:val="32"/>
        </w:rPr>
        <w:t>0万元，占比0%，较上年预算数增加0万元，增加0%，与上年预算持平，我单位2020年无此类支出。</w:t>
      </w:r>
    </w:p>
    <w:p>
      <w:pPr>
        <w:spacing w:line="560" w:lineRule="exact"/>
        <w:ind w:firstLine="627" w:firstLineChars="196"/>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 xml:space="preserve"> 15.</w:t>
      </w:r>
      <w:r>
        <w:rPr>
          <w:rFonts w:hint="eastAsia" w:ascii="仿宋_GB2312" w:hAnsi="仿宋_GB2312" w:eastAsia="仿宋_GB2312" w:cs="仿宋_GB2312"/>
          <w:b/>
          <w:color w:val="000000" w:themeColor="text1"/>
          <w:sz w:val="32"/>
          <w:szCs w:val="32"/>
        </w:rPr>
        <w:t>217金融支出</w:t>
      </w:r>
      <w:r>
        <w:rPr>
          <w:rFonts w:hint="eastAsia" w:ascii="仿宋_GB2312" w:hAnsi="仿宋_GB2312" w:eastAsia="仿宋_GB2312" w:cs="仿宋_GB2312"/>
          <w:color w:val="000000" w:themeColor="text1"/>
          <w:sz w:val="32"/>
          <w:szCs w:val="32"/>
        </w:rPr>
        <w:t>0万元，占比0%，较上年预算数增加0万元，增加0%，与上年预算持平，我单位2020年无此类支出。</w:t>
      </w:r>
    </w:p>
    <w:p>
      <w:pPr>
        <w:spacing w:line="560" w:lineRule="exact"/>
        <w:ind w:firstLine="627" w:firstLineChars="196"/>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16.</w:t>
      </w:r>
      <w:r>
        <w:rPr>
          <w:rFonts w:hint="eastAsia" w:ascii="仿宋_GB2312" w:hAnsi="仿宋_GB2312" w:eastAsia="仿宋_GB2312" w:cs="仿宋_GB2312"/>
          <w:b/>
          <w:color w:val="000000" w:themeColor="text1"/>
          <w:sz w:val="32"/>
          <w:szCs w:val="32"/>
        </w:rPr>
        <w:t>220自然资源海洋气象等支出</w:t>
      </w:r>
      <w:r>
        <w:rPr>
          <w:rFonts w:hint="eastAsia" w:ascii="仿宋_GB2312" w:hAnsi="仿宋_GB2312" w:eastAsia="仿宋_GB2312" w:cs="仿宋_GB2312"/>
          <w:color w:val="000000" w:themeColor="text1"/>
          <w:sz w:val="32"/>
          <w:szCs w:val="32"/>
        </w:rPr>
        <w:t>0万元，占比0%，较上年预算数增加0万元，增加0%，与上年预算持平，我单位2020年无此类支出。</w:t>
      </w:r>
    </w:p>
    <w:p>
      <w:pPr>
        <w:spacing w:line="560" w:lineRule="exact"/>
        <w:ind w:firstLine="627" w:firstLineChars="196"/>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17.</w:t>
      </w:r>
      <w:r>
        <w:rPr>
          <w:rFonts w:hint="eastAsia" w:ascii="仿宋_GB2312" w:hAnsi="仿宋_GB2312" w:eastAsia="仿宋_GB2312" w:cs="仿宋_GB2312"/>
          <w:b/>
          <w:color w:val="000000" w:themeColor="text1"/>
          <w:sz w:val="32"/>
          <w:szCs w:val="32"/>
        </w:rPr>
        <w:t>221住房保障支出</w:t>
      </w:r>
      <w:r>
        <w:rPr>
          <w:rFonts w:hint="eastAsia" w:ascii="仿宋_GB2312" w:hAnsi="仿宋_GB2312" w:eastAsia="仿宋_GB2312" w:cs="仿宋_GB2312"/>
          <w:color w:val="000000" w:themeColor="text1"/>
          <w:sz w:val="32"/>
          <w:szCs w:val="32"/>
        </w:rPr>
        <w:t>35.68万元，占比7.24%，主要用于缴纳单位人员住房公积金。较上年预算数增加10.44万元， 增加原因：人员增加致其支出增加</w:t>
      </w:r>
    </w:p>
    <w:p>
      <w:pPr>
        <w:spacing w:line="560" w:lineRule="exact"/>
        <w:ind w:firstLine="627" w:firstLineChars="196"/>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18.</w:t>
      </w:r>
      <w:r>
        <w:rPr>
          <w:rFonts w:hint="eastAsia" w:ascii="仿宋_GB2312" w:hAnsi="仿宋_GB2312" w:eastAsia="仿宋_GB2312" w:cs="仿宋_GB2312"/>
          <w:b/>
          <w:color w:val="000000" w:themeColor="text1"/>
          <w:sz w:val="32"/>
          <w:szCs w:val="32"/>
        </w:rPr>
        <w:t>222粮油物资储备支出</w:t>
      </w:r>
      <w:r>
        <w:rPr>
          <w:rFonts w:hint="eastAsia" w:ascii="仿宋_GB2312" w:hAnsi="仿宋_GB2312" w:eastAsia="仿宋_GB2312" w:cs="仿宋_GB2312"/>
          <w:color w:val="000000" w:themeColor="text1"/>
          <w:sz w:val="32"/>
          <w:szCs w:val="32"/>
        </w:rPr>
        <w:t>0万元，占比0%，较上年预算数增加0万元，增加0%，与上年预算持平，我单位2020年无此类支出。</w:t>
      </w:r>
    </w:p>
    <w:p>
      <w:pPr>
        <w:spacing w:line="560" w:lineRule="exact"/>
        <w:ind w:firstLine="627" w:firstLineChars="196"/>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19.</w:t>
      </w:r>
      <w:r>
        <w:rPr>
          <w:rFonts w:hint="eastAsia" w:ascii="仿宋_GB2312" w:hAnsi="仿宋_GB2312" w:eastAsia="仿宋_GB2312" w:cs="仿宋_GB2312"/>
          <w:b/>
          <w:color w:val="000000" w:themeColor="text1"/>
          <w:sz w:val="32"/>
          <w:szCs w:val="32"/>
        </w:rPr>
        <w:t>224灾害防治及应急管理支出</w:t>
      </w:r>
      <w:r>
        <w:rPr>
          <w:rFonts w:hint="eastAsia" w:ascii="仿宋_GB2312" w:hAnsi="仿宋_GB2312" w:eastAsia="仿宋_GB2312" w:cs="仿宋_GB2312"/>
          <w:color w:val="000000" w:themeColor="text1"/>
          <w:sz w:val="32"/>
          <w:szCs w:val="32"/>
        </w:rPr>
        <w:t>0万元，占比0%。较上年预算数增加0万元，增加0%，与上年预算持平，我单位2020年无此类支出。</w:t>
      </w:r>
    </w:p>
    <w:p>
      <w:pPr>
        <w:spacing w:line="560" w:lineRule="exact"/>
        <w:ind w:firstLine="627" w:firstLineChars="196"/>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 xml:space="preserve"> 20.</w:t>
      </w:r>
      <w:r>
        <w:rPr>
          <w:rFonts w:hint="eastAsia" w:ascii="仿宋_GB2312" w:hAnsi="仿宋_GB2312" w:eastAsia="仿宋_GB2312" w:cs="仿宋_GB2312"/>
          <w:b/>
          <w:color w:val="000000" w:themeColor="text1"/>
          <w:sz w:val="32"/>
          <w:szCs w:val="32"/>
        </w:rPr>
        <w:t>229其他支出</w:t>
      </w:r>
      <w:r>
        <w:rPr>
          <w:rFonts w:hint="eastAsia" w:ascii="仿宋_GB2312" w:hAnsi="仿宋_GB2312" w:eastAsia="仿宋_GB2312" w:cs="仿宋_GB2312"/>
          <w:color w:val="000000" w:themeColor="text1"/>
          <w:sz w:val="32"/>
          <w:szCs w:val="32"/>
        </w:rPr>
        <w:t>0万元，占比0%。较上年预算数增加0万元，增加0%，与上年预算持平，我单位2020年无此类支出。</w:t>
      </w:r>
    </w:p>
    <w:p>
      <w:pPr>
        <w:spacing w:line="560" w:lineRule="exact"/>
        <w:ind w:firstLine="627" w:firstLineChars="196"/>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 xml:space="preserve"> 21.</w:t>
      </w:r>
      <w:r>
        <w:rPr>
          <w:rFonts w:hint="eastAsia" w:ascii="仿宋_GB2312" w:hAnsi="仿宋_GB2312" w:eastAsia="仿宋_GB2312" w:cs="仿宋_GB2312"/>
          <w:b/>
          <w:color w:val="000000" w:themeColor="text1"/>
          <w:sz w:val="32"/>
          <w:szCs w:val="32"/>
        </w:rPr>
        <w:t>231债务还本支出</w:t>
      </w:r>
      <w:r>
        <w:rPr>
          <w:rFonts w:hint="eastAsia" w:ascii="仿宋_GB2312" w:hAnsi="仿宋_GB2312" w:eastAsia="仿宋_GB2312" w:cs="仿宋_GB2312"/>
          <w:color w:val="000000" w:themeColor="text1"/>
          <w:sz w:val="32"/>
          <w:szCs w:val="32"/>
        </w:rPr>
        <w:t>0万元，占比0%。较上年预算数增加0万元，增加0%，与上年预算持平，我单位2020年无此类支出。</w:t>
      </w:r>
    </w:p>
    <w:p>
      <w:pPr>
        <w:spacing w:line="560" w:lineRule="exact"/>
        <w:ind w:firstLine="627" w:firstLineChars="196"/>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 xml:space="preserve"> 22.</w:t>
      </w:r>
      <w:r>
        <w:rPr>
          <w:rFonts w:hint="eastAsia" w:ascii="仿宋_GB2312" w:hAnsi="仿宋_GB2312" w:eastAsia="仿宋_GB2312" w:cs="仿宋_GB2312"/>
          <w:b/>
          <w:color w:val="000000" w:themeColor="text1"/>
          <w:sz w:val="32"/>
          <w:szCs w:val="32"/>
        </w:rPr>
        <w:t>232债务付息支出</w:t>
      </w:r>
      <w:r>
        <w:rPr>
          <w:rFonts w:hint="eastAsia" w:ascii="仿宋_GB2312" w:hAnsi="仿宋_GB2312" w:eastAsia="仿宋_GB2312" w:cs="仿宋_GB2312"/>
          <w:color w:val="000000" w:themeColor="text1"/>
          <w:sz w:val="32"/>
          <w:szCs w:val="32"/>
        </w:rPr>
        <w:t>0万元，占比0%。较上年预算数增加0万元，增加0%，与上年预算持平，我单位2020年无此类支出。</w:t>
      </w:r>
    </w:p>
    <w:p>
      <w:pPr>
        <w:spacing w:line="560" w:lineRule="exact"/>
        <w:ind w:firstLine="629" w:firstLineChars="196"/>
        <w:rPr>
          <w:rFonts w:ascii="黑体" w:hAnsi="黑体" w:eastAsia="黑体"/>
          <w:b/>
          <w:bCs/>
          <w:color w:val="000000" w:themeColor="text1"/>
          <w:sz w:val="32"/>
          <w:szCs w:val="32"/>
        </w:rPr>
      </w:pPr>
      <w:r>
        <w:rPr>
          <w:rFonts w:hint="eastAsia" w:ascii="黑体" w:hAnsi="宋体" w:eastAsia="黑体"/>
          <w:b/>
          <w:bCs/>
          <w:color w:val="000000" w:themeColor="text1"/>
          <w:sz w:val="32"/>
          <w:szCs w:val="32"/>
        </w:rPr>
        <w:t>三、</w:t>
      </w:r>
      <w:r>
        <w:rPr>
          <w:rFonts w:hint="eastAsia" w:ascii="黑体" w:hAnsi="黑体" w:eastAsia="黑体"/>
          <w:b/>
          <w:bCs/>
          <w:color w:val="000000" w:themeColor="text1"/>
          <w:sz w:val="32"/>
          <w:szCs w:val="32"/>
        </w:rPr>
        <w:t>政府性基金预算财政拨款支出情况说明</w:t>
      </w:r>
    </w:p>
    <w:p>
      <w:pPr>
        <w:spacing w:line="560" w:lineRule="exact"/>
        <w:ind w:firstLine="588" w:firstLineChars="196"/>
        <w:rPr>
          <w:rFonts w:ascii="仿宋_GB2312" w:hAnsi="仿宋_GB2312" w:eastAsia="仿宋_GB2312" w:cs="仿宋_GB2312"/>
          <w:color w:val="000000" w:themeColor="text1"/>
          <w:spacing w:val="-10"/>
          <w:sz w:val="32"/>
          <w:szCs w:val="32"/>
        </w:rPr>
      </w:pPr>
      <w:r>
        <w:rPr>
          <w:rFonts w:hint="eastAsia" w:ascii="仿宋_GB2312" w:hAnsi="仿宋_GB2312" w:eastAsia="仿宋_GB2312" w:cs="仿宋_GB2312"/>
          <w:color w:val="000000" w:themeColor="text1"/>
          <w:spacing w:val="-10"/>
          <w:sz w:val="32"/>
          <w:szCs w:val="32"/>
        </w:rPr>
        <w:t>我单位无政府性基金财政拨款预算。</w:t>
      </w:r>
    </w:p>
    <w:p>
      <w:pPr>
        <w:spacing w:line="560" w:lineRule="exact"/>
        <w:ind w:firstLine="629" w:firstLineChars="196"/>
        <w:rPr>
          <w:rFonts w:ascii="黑体" w:hAnsi="宋体" w:eastAsia="黑体"/>
          <w:b/>
          <w:bCs/>
          <w:color w:val="000000" w:themeColor="text1"/>
          <w:sz w:val="32"/>
          <w:szCs w:val="32"/>
        </w:rPr>
      </w:pPr>
      <w:r>
        <w:rPr>
          <w:rFonts w:hint="eastAsia" w:ascii="黑体" w:hAnsi="宋体" w:eastAsia="黑体"/>
          <w:b/>
          <w:bCs/>
          <w:color w:val="000000" w:themeColor="text1"/>
          <w:sz w:val="32"/>
          <w:szCs w:val="32"/>
        </w:rPr>
        <w:t>四、财政拨款“三公”经费预算情况说明</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2020年财政拨款“三公”经费支出预算14.25万元，较上年预算减少2.74万元，减少16.13%;本年预算比上年执行数增加11.19万元，增长365.69%.其中：</w:t>
      </w:r>
    </w:p>
    <w:p>
      <w:pPr>
        <w:spacing w:line="560" w:lineRule="exact"/>
        <w:ind w:firstLine="627" w:firstLineChars="196"/>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（一）因公出国（境）费0万元，较上年预算增加0万元，增长0%。与上年预算持平，2020年无因公出国（境）预算。</w:t>
      </w:r>
    </w:p>
    <w:p>
      <w:pPr>
        <w:spacing w:line="560" w:lineRule="exact"/>
        <w:ind w:firstLine="800" w:firstLineChars="25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本年预算比上年执行数增加0万元，增长0%，与上年执行数持平，2020年无因公出国（境）预算。</w:t>
      </w:r>
    </w:p>
    <w:p>
      <w:pPr>
        <w:spacing w:line="560" w:lineRule="exact"/>
        <w:ind w:firstLine="627" w:firstLineChars="196"/>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（二）公务接待费2.75万元，较上年预算减少0.54万元，减少16.41%;减少主要原因是按照财政部门要求进行压减。</w:t>
      </w:r>
    </w:p>
    <w:p>
      <w:pPr>
        <w:spacing w:line="560" w:lineRule="exact"/>
        <w:ind w:firstLine="640" w:firstLineChars="20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本年预算比上年执行数增加1.99万元，增长261.84%，增长主要原因为是2020年脱贫攻坚任务完成，相应的上级检查、验收、普查、调研会增加，且十四冬在我市召开，单位的相关接待会有所</w:t>
      </w:r>
      <w:r>
        <w:rPr>
          <w:rFonts w:hint="eastAsia" w:eastAsia="仿宋_GB2312" w:cs="仿宋_GB2312" w:asciiTheme="minorHAnsi" w:hAnsiTheme="minorHAnsi"/>
          <w:color w:val="000000" w:themeColor="text1"/>
          <w:sz w:val="32"/>
          <w:szCs w:val="32"/>
        </w:rPr>
        <w:t>增加，从而</w:t>
      </w:r>
      <w:r>
        <w:rPr>
          <w:rFonts w:hint="eastAsia" w:ascii="仿宋_GB2312" w:hAnsi="仿宋_GB2312" w:eastAsia="仿宋_GB2312" w:cs="仿宋_GB2312"/>
          <w:color w:val="000000" w:themeColor="text1"/>
          <w:sz w:val="32"/>
          <w:szCs w:val="32"/>
        </w:rPr>
        <w:t>使支出增加。</w:t>
      </w:r>
    </w:p>
    <w:p>
      <w:pPr>
        <w:spacing w:line="560" w:lineRule="exact"/>
        <w:ind w:firstLine="627" w:firstLineChars="196"/>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（三）公务用车购置及运行经费11.5万元，较上年预算减少2.2万元，减少16.06%；本年预算比上年执行数增加9.2万元，增长400%，其中：</w:t>
      </w:r>
    </w:p>
    <w:p>
      <w:pPr>
        <w:spacing w:line="560" w:lineRule="exact"/>
        <w:ind w:firstLine="627" w:firstLineChars="196"/>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1.公务用车购置经费0万元，较上年预算增加0万元，增长0%，与上年预算持平，2020年无公车购置预算。</w:t>
      </w:r>
    </w:p>
    <w:p>
      <w:pPr>
        <w:spacing w:line="560" w:lineRule="exact"/>
        <w:ind w:firstLine="627" w:firstLineChars="196"/>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本年预算比上年执行数增0万元，增长0%，与上年执行数持平，2020年无公车购置预算。</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color w:val="000000" w:themeColor="text1"/>
          <w:sz w:val="32"/>
          <w:szCs w:val="32"/>
        </w:rPr>
        <w:t>2.公务用车运行维护费11.5万元，较上年预算</w:t>
      </w:r>
      <w:r>
        <w:rPr>
          <w:rFonts w:hint="eastAsia" w:eastAsia="仿宋_GB2312" w:cs="仿宋_GB2312" w:asciiTheme="minorHAnsi" w:hAnsiTheme="minorHAnsi"/>
          <w:color w:val="000000" w:themeColor="text1"/>
          <w:sz w:val="32"/>
          <w:szCs w:val="32"/>
        </w:rPr>
        <w:t>减少</w:t>
      </w:r>
      <w:r>
        <w:rPr>
          <w:rFonts w:hint="eastAsia" w:ascii="仿宋_GB2312" w:hAnsi="仿宋_GB2312" w:eastAsia="仿宋_GB2312" w:cs="仿宋_GB2312"/>
          <w:color w:val="000000" w:themeColor="text1"/>
          <w:sz w:val="32"/>
          <w:szCs w:val="32"/>
        </w:rPr>
        <w:t>2.2万元，减少16.06%；减少主要原因是按照财政部门要求进</w:t>
      </w:r>
      <w:r>
        <w:rPr>
          <w:rFonts w:hint="eastAsia" w:ascii="仿宋_GB2312" w:hAnsi="仿宋_GB2312" w:eastAsia="仿宋_GB2312" w:cs="仿宋_GB2312"/>
          <w:sz w:val="32"/>
          <w:szCs w:val="32"/>
        </w:rPr>
        <w:t>行压减。</w:t>
      </w:r>
    </w:p>
    <w:p>
      <w:pPr>
        <w:spacing w:line="560" w:lineRule="exact"/>
        <w:ind w:firstLine="627" w:firstLineChars="196"/>
        <w:rPr>
          <w:rFonts w:ascii="仿宋_GB2312" w:hAnsi="仿宋_GB2312" w:eastAsia="仿宋_GB2312" w:cs="仿宋_GB2312"/>
          <w:color w:val="000000" w:themeColor="text1"/>
          <w:sz w:val="32"/>
          <w:szCs w:val="32"/>
        </w:rPr>
      </w:pPr>
      <w:r>
        <w:rPr>
          <w:rFonts w:hint="eastAsia" w:ascii="仿宋_GB2312" w:hAnsi="仿宋_GB2312" w:eastAsia="仿宋_GB2312" w:cs="仿宋_GB2312"/>
          <w:sz w:val="32"/>
          <w:szCs w:val="32"/>
        </w:rPr>
        <w:t>本年预算比上年执行数增加9.2万元，</w:t>
      </w:r>
      <w:r>
        <w:rPr>
          <w:rFonts w:hint="eastAsia" w:ascii="仿宋_GB2312" w:hAnsi="仿宋_GB2312" w:eastAsia="仿宋_GB2312" w:cs="仿宋_GB2312"/>
          <w:color w:val="000000" w:themeColor="text1"/>
          <w:sz w:val="32"/>
          <w:szCs w:val="32"/>
        </w:rPr>
        <w:t>增长400%，增长主要原因是2020年脱贫攻坚任务完成，有关的检查、验收、普查、考评、宣传、数据信息核查等工作会相应增加导致支出增加。</w:t>
      </w:r>
    </w:p>
    <w:p>
      <w:pPr>
        <w:spacing w:line="560" w:lineRule="exact"/>
        <w:ind w:firstLine="627" w:firstLineChars="196"/>
        <w:rPr>
          <w:rFonts w:ascii="仿宋_GB2312" w:hAnsi="宋体" w:eastAsia="仿宋_GB2312"/>
          <w:sz w:val="32"/>
          <w:szCs w:val="32"/>
        </w:rPr>
      </w:pPr>
    </w:p>
    <w:p>
      <w:pPr>
        <w:spacing w:line="560" w:lineRule="exact"/>
        <w:ind w:firstLine="708" w:firstLineChars="196"/>
        <w:jc w:val="center"/>
        <w:rPr>
          <w:rFonts w:ascii="黑体" w:hAnsi="黑体" w:eastAsia="黑体"/>
          <w:b/>
          <w:sz w:val="36"/>
          <w:szCs w:val="36"/>
        </w:rPr>
      </w:pPr>
      <w:r>
        <w:rPr>
          <w:rFonts w:hint="eastAsia" w:ascii="黑体" w:hAnsi="黑体" w:eastAsia="黑体"/>
          <w:b/>
          <w:sz w:val="36"/>
          <w:szCs w:val="36"/>
        </w:rPr>
        <w:t>第三部分 其他公开事项说明</w:t>
      </w:r>
    </w:p>
    <w:p>
      <w:pPr>
        <w:spacing w:line="560" w:lineRule="exact"/>
        <w:ind w:firstLine="708" w:firstLineChars="196"/>
        <w:jc w:val="center"/>
        <w:rPr>
          <w:rFonts w:ascii="黑体" w:hAnsi="黑体" w:eastAsia="黑体"/>
          <w:b/>
          <w:sz w:val="36"/>
          <w:szCs w:val="36"/>
        </w:rPr>
      </w:pPr>
    </w:p>
    <w:p>
      <w:pPr>
        <w:spacing w:line="560" w:lineRule="exact"/>
        <w:ind w:firstLine="629" w:firstLineChars="196"/>
        <w:rPr>
          <w:rFonts w:ascii="黑体" w:hAnsi="黑体" w:eastAsia="黑体"/>
          <w:b/>
          <w:bCs/>
          <w:sz w:val="32"/>
          <w:szCs w:val="32"/>
        </w:rPr>
      </w:pPr>
      <w:r>
        <w:rPr>
          <w:rFonts w:hint="eastAsia" w:ascii="黑体" w:hAnsi="黑体" w:eastAsia="黑体"/>
          <w:b/>
          <w:bCs/>
          <w:sz w:val="32"/>
          <w:szCs w:val="32"/>
        </w:rPr>
        <w:t>一、机关运行经费安排</w:t>
      </w:r>
      <w:r>
        <w:rPr>
          <w:rFonts w:ascii="黑体" w:hAnsi="黑体" w:eastAsia="黑体"/>
          <w:b/>
          <w:bCs/>
          <w:sz w:val="32"/>
          <w:szCs w:val="32"/>
        </w:rPr>
        <w:t>情况</w:t>
      </w:r>
      <w:r>
        <w:rPr>
          <w:rFonts w:hint="eastAsia" w:ascii="黑体" w:hAnsi="黑体" w:eastAsia="黑体"/>
          <w:b/>
          <w:bCs/>
          <w:sz w:val="32"/>
          <w:szCs w:val="32"/>
        </w:rPr>
        <w:t>说明</w:t>
      </w:r>
    </w:p>
    <w:p>
      <w:pPr>
        <w:adjustRightInd w:val="0"/>
        <w:snapToGrid w:val="0"/>
        <w:spacing w:line="560" w:lineRule="exact"/>
        <w:ind w:firstLine="640" w:firstLineChars="200"/>
        <w:rPr>
          <w:rFonts w:ascii="仿宋_GB2312" w:eastAsia="仿宋_GB2312"/>
          <w:sz w:val="32"/>
          <w:szCs w:val="32"/>
        </w:rPr>
      </w:pPr>
      <w:r>
        <w:rPr>
          <w:rFonts w:hint="eastAsia" w:ascii="仿宋_GB2312" w:eastAsia="仿宋_GB2312"/>
          <w:sz w:val="32"/>
          <w:szCs w:val="32"/>
        </w:rPr>
        <w:t>机关运行经费，是指各部门的公用经费，包括办公及印刷费、邮电费、差旅费、会议费、福利费、日常维修费、专业材料及一般设备购置费、办公用房水电费、办公用房取暖费、办公用房物业管理费、公务用车运行维护费以及其他费用等。</w:t>
      </w:r>
    </w:p>
    <w:p>
      <w:pPr>
        <w:adjustRightInd w:val="0"/>
        <w:snapToGrid w:val="0"/>
        <w:spacing w:line="560" w:lineRule="exact"/>
        <w:ind w:firstLine="640" w:firstLineChars="200"/>
        <w:rPr>
          <w:rFonts w:ascii="仿宋_GB2312" w:eastAsia="仿宋_GB2312"/>
          <w:sz w:val="32"/>
          <w:szCs w:val="32"/>
        </w:rPr>
      </w:pPr>
      <w:r>
        <w:rPr>
          <w:rFonts w:hint="eastAsia" w:ascii="仿宋_GB2312" w:eastAsia="仿宋_GB2312"/>
          <w:sz w:val="32"/>
          <w:szCs w:val="32"/>
        </w:rPr>
        <w:t>2020年我局机关运行</w:t>
      </w:r>
      <w:r>
        <w:rPr>
          <w:rFonts w:hint="eastAsia" w:ascii="仿宋_GB2312" w:eastAsia="仿宋_GB2312"/>
          <w:color w:val="000000"/>
          <w:sz w:val="32"/>
          <w:szCs w:val="32"/>
        </w:rPr>
        <w:t>经费财政拨款</w:t>
      </w:r>
      <w:r>
        <w:rPr>
          <w:rFonts w:hint="eastAsia" w:ascii="仿宋_GB2312" w:eastAsia="仿宋_GB2312"/>
          <w:sz w:val="32"/>
          <w:szCs w:val="32"/>
        </w:rPr>
        <w:t>预算38.51</w:t>
      </w:r>
      <w:r>
        <w:rPr>
          <w:rFonts w:hint="eastAsia" w:ascii="仿宋_GB2312" w:eastAsia="仿宋_GB2312"/>
          <w:color w:val="000000"/>
          <w:sz w:val="32"/>
          <w:szCs w:val="32"/>
        </w:rPr>
        <w:t>万元，</w:t>
      </w:r>
      <w:r>
        <w:rPr>
          <w:rFonts w:hint="eastAsia" w:ascii="仿宋_GB2312" w:eastAsia="仿宋_GB2312"/>
          <w:sz w:val="32"/>
          <w:szCs w:val="32"/>
        </w:rPr>
        <w:t>其中：302商品和服务支出类：办公费2.67万元、印刷费0万元、咨询费0万元、手续费0万元、水费0万元、电费0万元、邮电费0万元、取暖费0万元、物业管理费0万元、差旅费0万元、因公出国（境） 费用0万元、维修（护）费0万元、租赁费0万元、会议费0万元、培训费0.91万元、公务接待费3万元、专用材料费8万元、被装购置费0万元、专用燃料费0万元、劳务费0万元、委托业务费0万元、工会经费1.34万元、福利费0万元、公务用车运行维护费7.2万元、其他交通费用15.3万元、税金及附加费用0万元、其他商品和服务支出0.09万元；310资本性支出类：房屋建筑物购建0万元、办公设备购置0万元、专用设备购置0万元、基础设施建设0万元、大型修缮0万元、信息网络及软件购置更新0万元、物资储备0万元、土地补偿0万元、安置补助0万元、地上附着物和青苗补偿0万元、拆迁补偿0万元、公务用车购置0万元、其他交通工具购置0万元、文物和陈列品购置0万元、无形资产购置0万元、其他资本性支出0万元。</w:t>
      </w:r>
    </w:p>
    <w:p>
      <w:pPr>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eastAsia="仿宋_GB2312"/>
          <w:sz w:val="32"/>
          <w:szCs w:val="32"/>
        </w:rPr>
        <w:t>2020年机关运行</w:t>
      </w:r>
      <w:r>
        <w:rPr>
          <w:rFonts w:hint="eastAsia" w:ascii="仿宋_GB2312" w:eastAsia="仿宋_GB2312"/>
          <w:color w:val="000000"/>
          <w:sz w:val="32"/>
          <w:szCs w:val="32"/>
        </w:rPr>
        <w:t>经费比上年</w:t>
      </w:r>
      <w:r>
        <w:rPr>
          <w:rFonts w:hint="eastAsia" w:ascii="仿宋_GB2312" w:eastAsia="仿宋_GB2312"/>
          <w:sz w:val="32"/>
          <w:szCs w:val="32"/>
        </w:rPr>
        <w:t>增加1.41</w:t>
      </w:r>
      <w:r>
        <w:rPr>
          <w:rFonts w:hint="eastAsia" w:ascii="仿宋_GB2312" w:eastAsia="仿宋_GB2312"/>
          <w:color w:val="000000"/>
          <w:sz w:val="32"/>
          <w:szCs w:val="32"/>
        </w:rPr>
        <w:t>万元，</w:t>
      </w:r>
      <w:r>
        <w:rPr>
          <w:rFonts w:hint="eastAsia" w:ascii="仿宋_GB2312" w:eastAsia="仿宋_GB2312"/>
          <w:sz w:val="32"/>
          <w:szCs w:val="32"/>
        </w:rPr>
        <w:t>增长3.8 %</w:t>
      </w:r>
      <w:r>
        <w:rPr>
          <w:rFonts w:hint="eastAsia" w:ascii="仿宋_GB2312" w:eastAsia="仿宋_GB2312"/>
          <w:color w:val="000000"/>
          <w:sz w:val="32"/>
          <w:szCs w:val="32"/>
        </w:rPr>
        <w:t>，</w:t>
      </w:r>
      <w:r>
        <w:rPr>
          <w:rFonts w:hint="eastAsia" w:ascii="仿宋_GB2312" w:eastAsia="仿宋_GB2312"/>
          <w:sz w:val="32"/>
          <w:szCs w:val="32"/>
        </w:rPr>
        <w:t>增长的原因是人员编制和在职人数增加。</w:t>
      </w:r>
    </w:p>
    <w:p>
      <w:pPr>
        <w:spacing w:line="560" w:lineRule="exact"/>
        <w:ind w:firstLine="627" w:firstLineChars="196"/>
        <w:rPr>
          <w:rFonts w:ascii="黑体" w:hAnsi="黑体" w:eastAsia="黑体"/>
          <w:bCs/>
          <w:sz w:val="32"/>
          <w:szCs w:val="32"/>
        </w:rPr>
      </w:pPr>
      <w:r>
        <w:rPr>
          <w:rFonts w:hint="eastAsia" w:ascii="黑体" w:hAnsi="黑体" w:eastAsia="黑体"/>
          <w:bCs/>
          <w:sz w:val="32"/>
          <w:szCs w:val="32"/>
        </w:rPr>
        <w:t>二、事业运行经费安排</w:t>
      </w:r>
      <w:r>
        <w:rPr>
          <w:rFonts w:ascii="黑体" w:hAnsi="黑体" w:eastAsia="黑体"/>
          <w:bCs/>
          <w:sz w:val="32"/>
          <w:szCs w:val="32"/>
        </w:rPr>
        <w:t>情况</w:t>
      </w:r>
      <w:r>
        <w:rPr>
          <w:rFonts w:hint="eastAsia" w:ascii="黑体" w:hAnsi="黑体" w:eastAsia="黑体"/>
          <w:bCs/>
          <w:sz w:val="32"/>
          <w:szCs w:val="32"/>
        </w:rPr>
        <w:t>说明</w:t>
      </w:r>
    </w:p>
    <w:p>
      <w:pPr>
        <w:adjustRightInd w:val="0"/>
        <w:snapToGrid w:val="0"/>
        <w:spacing w:line="560" w:lineRule="exact"/>
        <w:ind w:firstLine="640" w:firstLineChars="200"/>
        <w:rPr>
          <w:rFonts w:ascii="仿宋_GB2312" w:eastAsia="仿宋_GB2312"/>
          <w:sz w:val="32"/>
          <w:szCs w:val="32"/>
        </w:rPr>
      </w:pPr>
      <w:r>
        <w:rPr>
          <w:rFonts w:hint="eastAsia" w:ascii="仿宋_GB2312" w:eastAsia="仿宋_GB2312"/>
          <w:sz w:val="32"/>
          <w:szCs w:val="32"/>
        </w:rPr>
        <w:t>事业运转经费，是指各事业单位的公用经费，包括办公及印刷费、邮电费、差旅费、会议费、福利费、日常维修费、专业材料及一般设备购置费、办公用房水电费、办公用房取暖费、办公用房物业管理费、公务用车运行维护费以及其他费用。</w:t>
      </w:r>
    </w:p>
    <w:p>
      <w:pPr>
        <w:adjustRightInd w:val="0"/>
        <w:snapToGrid w:val="0"/>
        <w:spacing w:line="560" w:lineRule="exact"/>
        <w:ind w:firstLine="640" w:firstLineChars="200"/>
        <w:rPr>
          <w:rFonts w:ascii="仿宋_GB2312" w:eastAsia="仿宋_GB2312"/>
          <w:sz w:val="32"/>
          <w:szCs w:val="32"/>
        </w:rPr>
      </w:pPr>
      <w:r>
        <w:rPr>
          <w:rFonts w:hint="eastAsia" w:ascii="仿宋_GB2312" w:eastAsia="仿宋_GB2312"/>
          <w:sz w:val="32"/>
          <w:szCs w:val="32"/>
        </w:rPr>
        <w:t>2020年我单位事业运转</w:t>
      </w:r>
      <w:r>
        <w:rPr>
          <w:rFonts w:hint="eastAsia" w:ascii="仿宋_GB2312" w:eastAsia="仿宋_GB2312"/>
          <w:color w:val="000000"/>
          <w:sz w:val="32"/>
          <w:szCs w:val="32"/>
        </w:rPr>
        <w:t>经费财政拨款</w:t>
      </w:r>
      <w:r>
        <w:rPr>
          <w:rFonts w:hint="eastAsia" w:ascii="仿宋_GB2312" w:eastAsia="仿宋_GB2312"/>
          <w:sz w:val="32"/>
          <w:szCs w:val="32"/>
        </w:rPr>
        <w:t>预算27.13</w:t>
      </w:r>
      <w:r>
        <w:rPr>
          <w:rFonts w:hint="eastAsia" w:ascii="仿宋_GB2312" w:eastAsia="仿宋_GB2312"/>
          <w:color w:val="000000"/>
          <w:sz w:val="32"/>
          <w:szCs w:val="32"/>
        </w:rPr>
        <w:t>万元，</w:t>
      </w:r>
      <w:r>
        <w:rPr>
          <w:rFonts w:hint="eastAsia" w:ascii="仿宋_GB2312" w:eastAsia="仿宋_GB2312"/>
          <w:sz w:val="32"/>
          <w:szCs w:val="32"/>
        </w:rPr>
        <w:t>其中：302商品和服务支出类：办公费10.5万元、印刷费0.5万元、咨询费0.5万元、手续费0万元、水费0万元、电费0万元、邮电费0.5万元、取暖费0万元、物业管理费0万元、差旅费3.1万元、因公出国（境） 费用0万元、维修（护）费0万元、租赁费0万元、会议费6.6万元、培训费0万元、公务接待费1万元、专用材料费0万元、被装购置费0万元、专用燃料费0万元、劳务费0.3万元、委托业务费0万元、工会经费1.63万元、福利费0万元、公务用车运行维护费2.5万元、其他交通费用0万元、税金及附加费用0万元、其他商品和服务支出0万元；310资本性支出类：房屋建筑物购建0万元、办公设备购置0万元、专用设备购置0万元、基础设施建设0万元、大型修缮0万元、信息网络及软件购置更新0万元、物资储备0万元、土地补偿0万元、安置补助0万元、地上附着物和青苗补偿0万元、拆迁补偿0万元、公务用车购置0万元、其他交通工具购置0万元、文物和陈列品购置0万元、无形资产购置0万元、其他资本性支出0万元。</w:t>
      </w:r>
    </w:p>
    <w:p>
      <w:pPr>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eastAsia="仿宋_GB2312"/>
          <w:sz w:val="32"/>
          <w:szCs w:val="32"/>
        </w:rPr>
        <w:t>2020年事业运转</w:t>
      </w:r>
      <w:r>
        <w:rPr>
          <w:rFonts w:hint="eastAsia" w:ascii="仿宋_GB2312" w:eastAsia="仿宋_GB2312"/>
          <w:color w:val="000000"/>
          <w:sz w:val="32"/>
          <w:szCs w:val="32"/>
        </w:rPr>
        <w:t>经费比上年</w:t>
      </w:r>
      <w:r>
        <w:rPr>
          <w:rFonts w:hint="eastAsia" w:ascii="仿宋_GB2312" w:eastAsia="仿宋_GB2312"/>
          <w:sz w:val="32"/>
          <w:szCs w:val="32"/>
        </w:rPr>
        <w:t>增加1.07</w:t>
      </w:r>
      <w:r>
        <w:rPr>
          <w:rFonts w:hint="eastAsia" w:ascii="仿宋_GB2312" w:eastAsia="仿宋_GB2312"/>
          <w:color w:val="000000"/>
          <w:sz w:val="32"/>
          <w:szCs w:val="32"/>
        </w:rPr>
        <w:t>万元，</w:t>
      </w:r>
      <w:r>
        <w:rPr>
          <w:rFonts w:hint="eastAsia" w:ascii="仿宋_GB2312" w:eastAsia="仿宋_GB2312"/>
          <w:sz w:val="32"/>
          <w:szCs w:val="32"/>
        </w:rPr>
        <w:t>增长4.11 %</w:t>
      </w:r>
      <w:r>
        <w:rPr>
          <w:rFonts w:hint="eastAsia" w:ascii="仿宋_GB2312" w:eastAsia="仿宋_GB2312"/>
          <w:color w:val="000000"/>
          <w:sz w:val="32"/>
          <w:szCs w:val="32"/>
        </w:rPr>
        <w:t>，</w:t>
      </w:r>
      <w:r>
        <w:rPr>
          <w:rFonts w:hint="eastAsia" w:ascii="仿宋_GB2312" w:eastAsia="仿宋_GB2312"/>
          <w:sz w:val="32"/>
          <w:szCs w:val="32"/>
        </w:rPr>
        <w:t>增长主要原因是人员编制和在职人数增加。</w:t>
      </w:r>
    </w:p>
    <w:p>
      <w:pPr>
        <w:spacing w:line="560" w:lineRule="exact"/>
        <w:ind w:firstLine="629" w:firstLineChars="196"/>
        <w:rPr>
          <w:rFonts w:ascii="黑体" w:hAnsi="宋体" w:eastAsia="黑体"/>
          <w:b/>
          <w:bCs/>
          <w:sz w:val="32"/>
          <w:szCs w:val="32"/>
        </w:rPr>
      </w:pPr>
      <w:r>
        <w:rPr>
          <w:rFonts w:hint="eastAsia" w:ascii="黑体" w:hAnsi="宋体" w:eastAsia="黑体"/>
          <w:b/>
          <w:bCs/>
          <w:sz w:val="32"/>
          <w:szCs w:val="32"/>
        </w:rPr>
        <w:t>三、政府采购预算情况说明</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2020年政府采购预算10.67万元，其中A货物类10.67万元、B工程类0万元、C服务类0万元。较上年增加10.67万元，增长100%，其中：</w:t>
      </w:r>
    </w:p>
    <w:p>
      <w:pPr>
        <w:spacing w:line="560" w:lineRule="exact"/>
        <w:ind w:firstLine="480" w:firstLineChars="15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1.A货物类预算10.67万元，占比100%，较上年增加10.67万元，增加100%，增加原因是上年无政府采购预算。</w:t>
      </w:r>
    </w:p>
    <w:p>
      <w:pPr>
        <w:spacing w:line="560" w:lineRule="exact"/>
        <w:ind w:firstLine="480" w:firstLineChars="15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2.B工程类预算0万元，占比0%，较上年增加0万元，增长0%，与上年预算持平，我单位2020年无此类采购预算。</w:t>
      </w:r>
    </w:p>
    <w:p>
      <w:pPr>
        <w:spacing w:line="560" w:lineRule="exact"/>
        <w:ind w:firstLine="480" w:firstLineChars="15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3.C服务类预算0万元，占比0%，较上年增加0万元，增长0%，与上年预算持平，我单位2020年无此类采购预算。</w:t>
      </w:r>
    </w:p>
    <w:p>
      <w:pPr>
        <w:spacing w:line="560" w:lineRule="exact"/>
        <w:ind w:firstLine="629" w:firstLineChars="196"/>
        <w:rPr>
          <w:rFonts w:ascii="黑体" w:hAnsi="宋体" w:eastAsia="黑体"/>
          <w:b/>
          <w:bCs/>
          <w:color w:val="000000" w:themeColor="text1"/>
          <w:sz w:val="32"/>
          <w:szCs w:val="32"/>
        </w:rPr>
      </w:pPr>
      <w:r>
        <w:rPr>
          <w:rFonts w:hint="eastAsia" w:ascii="黑体" w:hAnsi="宋体" w:eastAsia="黑体"/>
          <w:b/>
          <w:bCs/>
          <w:color w:val="000000" w:themeColor="text1"/>
          <w:sz w:val="32"/>
          <w:szCs w:val="32"/>
        </w:rPr>
        <w:t>四、国</w:t>
      </w:r>
      <w:r>
        <w:rPr>
          <w:rFonts w:ascii="黑体" w:hAnsi="宋体" w:eastAsia="黑体"/>
          <w:b/>
          <w:bCs/>
          <w:color w:val="000000" w:themeColor="text1"/>
          <w:sz w:val="32"/>
          <w:szCs w:val="32"/>
        </w:rPr>
        <w:t>有</w:t>
      </w:r>
      <w:r>
        <w:rPr>
          <w:rFonts w:hint="eastAsia" w:ascii="黑体" w:hAnsi="宋体" w:eastAsia="黑体"/>
          <w:b/>
          <w:bCs/>
          <w:color w:val="000000" w:themeColor="text1"/>
          <w:sz w:val="32"/>
          <w:szCs w:val="32"/>
        </w:rPr>
        <w:t>资产占有使用情况说明</w:t>
      </w:r>
    </w:p>
    <w:p>
      <w:pPr>
        <w:spacing w:line="560" w:lineRule="exact"/>
        <w:ind w:firstLine="627" w:firstLineChars="196"/>
        <w:rPr>
          <w:rFonts w:ascii="仿宋_GB2312" w:hAnsi="宋体" w:eastAsia="仿宋_GB2312"/>
          <w:color w:val="000000" w:themeColor="text1"/>
          <w:sz w:val="32"/>
          <w:szCs w:val="32"/>
        </w:rPr>
      </w:pPr>
      <w:r>
        <w:rPr>
          <w:rFonts w:hint="eastAsia" w:ascii="仿宋_GB2312" w:hAnsi="宋体" w:eastAsia="仿宋_GB2312"/>
          <w:color w:val="000000" w:themeColor="text1"/>
          <w:sz w:val="32"/>
          <w:szCs w:val="32"/>
        </w:rPr>
        <w:t>1.2020年公务用车及大型设备情况：</w:t>
      </w:r>
    </w:p>
    <w:p>
      <w:pPr>
        <w:spacing w:line="560" w:lineRule="exact"/>
        <w:ind w:firstLine="627" w:firstLineChars="196"/>
        <w:rPr>
          <w:rFonts w:ascii="仿宋_GB2312" w:hAnsi="宋体" w:eastAsia="仿宋_GB2312"/>
          <w:color w:val="000000" w:themeColor="text1"/>
          <w:sz w:val="32"/>
          <w:szCs w:val="32"/>
        </w:rPr>
      </w:pPr>
      <w:r>
        <w:rPr>
          <w:rFonts w:hint="eastAsia" w:ascii="仿宋_GB2312" w:eastAsia="仿宋_GB2312"/>
          <w:color w:val="000000" w:themeColor="text1"/>
          <w:sz w:val="32"/>
          <w:szCs w:val="32"/>
        </w:rPr>
        <w:t>截至2019年末，共有车辆1辆，</w:t>
      </w:r>
      <w:r>
        <w:rPr>
          <w:rFonts w:hint="eastAsia" w:ascii="仿宋_GB2312" w:hAnsi="宋体" w:eastAsia="仿宋_GB2312"/>
          <w:color w:val="000000" w:themeColor="text1"/>
          <w:sz w:val="32"/>
          <w:szCs w:val="32"/>
        </w:rPr>
        <w:t>其中机要通信应急用车1辆、调研用车0辆、离退休干部用车0辆、一般执法执勤用车0辆、特种专业技术用车0 辆、较上年</w:t>
      </w:r>
      <w:r>
        <w:rPr>
          <w:rFonts w:ascii="仿宋_GB2312" w:hAnsi="宋体" w:eastAsia="仿宋_GB2312"/>
          <w:color w:val="000000" w:themeColor="text1"/>
          <w:sz w:val="32"/>
          <w:szCs w:val="32"/>
        </w:rPr>
        <w:t>减少</w:t>
      </w:r>
      <w:r>
        <w:rPr>
          <w:rFonts w:hint="eastAsia" w:ascii="仿宋_GB2312" w:hAnsi="宋体" w:eastAsia="仿宋_GB2312"/>
          <w:color w:val="000000" w:themeColor="text1"/>
          <w:sz w:val="32"/>
          <w:szCs w:val="32"/>
        </w:rPr>
        <w:t>1辆，</w:t>
      </w:r>
      <w:r>
        <w:rPr>
          <w:rFonts w:ascii="仿宋_GB2312" w:hAnsi="宋体" w:eastAsia="仿宋_GB2312"/>
          <w:color w:val="000000" w:themeColor="text1"/>
          <w:sz w:val="32"/>
          <w:szCs w:val="32"/>
        </w:rPr>
        <w:t>减少</w:t>
      </w:r>
      <w:r>
        <w:rPr>
          <w:rFonts w:hint="eastAsia" w:ascii="仿宋_GB2312" w:hAnsi="宋体" w:eastAsia="仿宋_GB2312"/>
          <w:color w:val="000000" w:themeColor="text1"/>
          <w:sz w:val="32"/>
          <w:szCs w:val="32"/>
        </w:rPr>
        <w:t>原因：处置公务用车1辆。</w:t>
      </w:r>
    </w:p>
    <w:p>
      <w:pPr>
        <w:spacing w:line="560" w:lineRule="exact"/>
        <w:ind w:firstLine="627" w:firstLineChars="196"/>
        <w:rPr>
          <w:rFonts w:ascii="仿宋_GB2312" w:hAnsi="宋体" w:eastAsia="仿宋_GB2312"/>
          <w:color w:val="000000" w:themeColor="text1"/>
          <w:sz w:val="32"/>
          <w:szCs w:val="32"/>
        </w:rPr>
      </w:pPr>
      <w:r>
        <w:rPr>
          <w:rFonts w:hint="eastAsia" w:ascii="仿宋_GB2312" w:hAnsi="宋体" w:eastAsia="仿宋_GB2312"/>
          <w:color w:val="000000" w:themeColor="text1"/>
          <w:sz w:val="32"/>
          <w:szCs w:val="32"/>
        </w:rPr>
        <w:t>单位价值200万元以上大型设备0台（套）。</w:t>
      </w:r>
    </w:p>
    <w:p>
      <w:pPr>
        <w:spacing w:line="560" w:lineRule="exact"/>
        <w:ind w:firstLine="627" w:firstLineChars="196"/>
        <w:rPr>
          <w:rFonts w:ascii="仿宋_GB2312" w:hAnsi="宋体" w:eastAsia="仿宋_GB2312"/>
          <w:color w:val="000000" w:themeColor="text1"/>
          <w:sz w:val="32"/>
          <w:szCs w:val="32"/>
        </w:rPr>
      </w:pPr>
      <w:r>
        <w:rPr>
          <w:rFonts w:hint="eastAsia" w:ascii="仿宋_GB2312" w:hAnsi="宋体" w:eastAsia="仿宋_GB2312"/>
          <w:color w:val="000000" w:themeColor="text1"/>
          <w:sz w:val="32"/>
          <w:szCs w:val="32"/>
        </w:rPr>
        <w:t>2.2020年房屋建筑物情况：</w:t>
      </w:r>
    </w:p>
    <w:p>
      <w:pPr>
        <w:spacing w:line="560" w:lineRule="exact"/>
        <w:ind w:firstLine="627" w:firstLineChars="196"/>
        <w:rPr>
          <w:rFonts w:ascii="仿宋_GB2312" w:hAnsi="宋体" w:eastAsia="仿宋_GB2312"/>
          <w:color w:val="000000" w:themeColor="text1"/>
          <w:sz w:val="32"/>
          <w:szCs w:val="32"/>
        </w:rPr>
      </w:pPr>
      <w:r>
        <w:rPr>
          <w:rFonts w:hint="eastAsia" w:ascii="仿宋_GB2312" w:hAnsi="宋体" w:eastAsia="仿宋_GB2312"/>
          <w:color w:val="000000" w:themeColor="text1"/>
          <w:sz w:val="32"/>
          <w:szCs w:val="32"/>
        </w:rPr>
        <w:t>房屋建筑面积0平方米，其中办公用房0平方米、业务用房0平方米、其他用房0平方米，较上年增0平方米，与上年预算持平。</w:t>
      </w:r>
    </w:p>
    <w:p>
      <w:pPr>
        <w:ind w:firstLine="640" w:firstLineChars="200"/>
        <w:rPr>
          <w:rFonts w:ascii="黑体" w:hAnsi="黑体" w:eastAsia="黑体"/>
          <w:bCs/>
          <w:sz w:val="32"/>
          <w:szCs w:val="32"/>
        </w:rPr>
      </w:pPr>
      <w:r>
        <w:rPr>
          <w:rFonts w:hint="eastAsia" w:ascii="黑体" w:hAnsi="黑体" w:eastAsia="黑体"/>
          <w:bCs/>
          <w:sz w:val="32"/>
          <w:szCs w:val="32"/>
        </w:rPr>
        <w:t>五、2020年度项目支出绩效目标情况说明</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2020年填报绩效目标的预算项目0个，</w:t>
      </w:r>
      <w:bookmarkStart w:id="0" w:name="OLE_LINK1"/>
      <w:r>
        <w:rPr>
          <w:rFonts w:hint="eastAsia" w:ascii="仿宋_GB2312" w:hAnsi="仿宋_GB2312" w:eastAsia="仿宋_GB2312" w:cs="仿宋_GB2312"/>
          <w:sz w:val="32"/>
          <w:szCs w:val="32"/>
        </w:rPr>
        <w:t>公开绩效目标0个，公开项目占全部预算项目的0%。</w:t>
      </w:r>
      <w:bookmarkEnd w:id="0"/>
      <w:r>
        <w:rPr>
          <w:rFonts w:hint="eastAsia" w:ascii="仿宋_GB2312" w:hAnsi="仿宋_GB2312" w:eastAsia="仿宋_GB2312" w:cs="仿宋_GB2312"/>
          <w:sz w:val="32"/>
          <w:szCs w:val="32"/>
        </w:rPr>
        <w:t>公开填报绩效目标的项目支出预算0万元，占全部项目支出预算的0%。</w:t>
      </w:r>
    </w:p>
    <w:p>
      <w:pPr>
        <w:ind w:firstLine="640" w:firstLineChars="200"/>
        <w:rPr>
          <w:rFonts w:ascii="仿宋" w:hAnsi="仿宋" w:eastAsia="仿宋"/>
          <w:sz w:val="32"/>
          <w:szCs w:val="32"/>
        </w:rPr>
      </w:pPr>
    </w:p>
    <w:p>
      <w:pPr>
        <w:spacing w:line="560" w:lineRule="exact"/>
        <w:ind w:firstLine="708" w:firstLineChars="196"/>
        <w:jc w:val="center"/>
        <w:rPr>
          <w:rFonts w:ascii="黑体" w:hAnsi="黑体" w:eastAsia="黑体"/>
          <w:b/>
          <w:bCs/>
          <w:sz w:val="36"/>
          <w:szCs w:val="36"/>
        </w:rPr>
      </w:pPr>
      <w:r>
        <w:rPr>
          <w:rFonts w:hint="eastAsia" w:ascii="黑体" w:hAnsi="黑体" w:eastAsia="黑体"/>
          <w:b/>
          <w:bCs/>
          <w:sz w:val="36"/>
          <w:szCs w:val="36"/>
        </w:rPr>
        <w:t>第四部分   名词解释</w:t>
      </w:r>
    </w:p>
    <w:p>
      <w:pPr>
        <w:spacing w:line="560" w:lineRule="exact"/>
        <w:ind w:firstLine="629" w:firstLineChars="196"/>
        <w:jc w:val="center"/>
        <w:rPr>
          <w:rFonts w:ascii="黑体" w:hAnsi="黑体" w:eastAsia="黑体"/>
          <w:b/>
          <w:sz w:val="32"/>
          <w:szCs w:val="32"/>
        </w:rPr>
      </w:pPr>
    </w:p>
    <w:p>
      <w:pPr>
        <w:spacing w:line="560" w:lineRule="exact"/>
        <w:ind w:firstLine="629" w:firstLineChars="196"/>
        <w:rPr>
          <w:rFonts w:ascii="仿宋_GB2312" w:hAnsi="仿宋_GB2312" w:eastAsia="仿宋_GB2312" w:cs="仿宋_GB2312"/>
          <w:sz w:val="32"/>
          <w:szCs w:val="32"/>
        </w:rPr>
      </w:pPr>
      <w:r>
        <w:rPr>
          <w:rFonts w:hint="eastAsia" w:ascii="仿宋_GB2312" w:hAnsi="仿宋_GB2312" w:eastAsia="仿宋_GB2312" w:cs="仿宋_GB2312"/>
          <w:b/>
          <w:sz w:val="32"/>
          <w:szCs w:val="32"/>
        </w:rPr>
        <w:t>一、一般公共预算财政拨款收入</w:t>
      </w:r>
      <w:r>
        <w:rPr>
          <w:rFonts w:hint="eastAsia" w:ascii="仿宋_GB2312" w:hAnsi="仿宋_GB2312" w:eastAsia="仿宋_GB2312" w:cs="仿宋_GB2312"/>
          <w:sz w:val="32"/>
          <w:szCs w:val="32"/>
        </w:rPr>
        <w:t>：指各单位从各级财政部门取得的财政预算资金。</w:t>
      </w:r>
    </w:p>
    <w:p>
      <w:pPr>
        <w:snapToGrid w:val="0"/>
        <w:spacing w:line="560" w:lineRule="exact"/>
        <w:ind w:firstLine="642" w:firstLineChars="200"/>
        <w:rPr>
          <w:rFonts w:ascii="仿宋_GB2312" w:hAnsi="仿宋_GB2312" w:eastAsia="仿宋_GB2312" w:cs="仿宋_GB2312"/>
          <w:color w:val="000000"/>
          <w:sz w:val="32"/>
          <w:szCs w:val="32"/>
        </w:rPr>
      </w:pPr>
      <w:r>
        <w:rPr>
          <w:rFonts w:hint="eastAsia" w:ascii="仿宋_GB2312" w:hAnsi="仿宋_GB2312" w:eastAsia="仿宋_GB2312" w:cs="仿宋_GB2312"/>
          <w:b/>
          <w:color w:val="000000"/>
          <w:sz w:val="32"/>
          <w:szCs w:val="32"/>
        </w:rPr>
        <w:t>二、事业收入</w:t>
      </w:r>
      <w:r>
        <w:rPr>
          <w:rFonts w:hint="eastAsia" w:ascii="仿宋_GB2312" w:hAnsi="仿宋_GB2312" w:eastAsia="仿宋_GB2312" w:cs="仿宋_GB2312"/>
          <w:color w:val="000000"/>
          <w:sz w:val="32"/>
          <w:szCs w:val="32"/>
        </w:rPr>
        <w:t>：是指事业单位开展专业业务活动及辅助活动所取得的收入。</w:t>
      </w:r>
    </w:p>
    <w:p>
      <w:pPr>
        <w:snapToGrid w:val="0"/>
        <w:spacing w:line="560" w:lineRule="exact"/>
        <w:ind w:firstLine="803" w:firstLineChars="250"/>
        <w:rPr>
          <w:rFonts w:ascii="仿宋_GB2312" w:hAnsi="仿宋_GB2312" w:eastAsia="仿宋_GB2312" w:cs="仿宋_GB2312"/>
          <w:color w:val="000000"/>
          <w:sz w:val="32"/>
          <w:szCs w:val="32"/>
        </w:rPr>
      </w:pPr>
      <w:r>
        <w:rPr>
          <w:rFonts w:hint="eastAsia" w:ascii="仿宋_GB2312" w:hAnsi="仿宋_GB2312" w:eastAsia="仿宋_GB2312" w:cs="仿宋_GB2312"/>
          <w:b/>
          <w:color w:val="000000"/>
          <w:sz w:val="32"/>
          <w:szCs w:val="32"/>
        </w:rPr>
        <w:t>三、事业单位经营收入</w:t>
      </w:r>
      <w:r>
        <w:rPr>
          <w:rFonts w:hint="eastAsia" w:ascii="仿宋_GB2312" w:hAnsi="仿宋_GB2312" w:eastAsia="仿宋_GB2312" w:cs="仿宋_GB2312"/>
          <w:color w:val="000000"/>
          <w:sz w:val="32"/>
          <w:szCs w:val="32"/>
        </w:rPr>
        <w:t>：是指事业单位在专业业务活动及其辅助活动之外开展非独立核算经营活动取得的收入。</w:t>
      </w:r>
    </w:p>
    <w:p>
      <w:pPr>
        <w:snapToGrid w:val="0"/>
        <w:spacing w:line="560" w:lineRule="exact"/>
        <w:ind w:firstLine="642" w:firstLineChars="200"/>
        <w:rPr>
          <w:rFonts w:ascii="仿宋_GB2312" w:hAnsi="仿宋_GB2312" w:eastAsia="仿宋_GB2312" w:cs="仿宋_GB2312"/>
          <w:color w:val="000000"/>
          <w:sz w:val="32"/>
          <w:szCs w:val="32"/>
        </w:rPr>
      </w:pPr>
      <w:r>
        <w:rPr>
          <w:rFonts w:hint="eastAsia" w:ascii="仿宋_GB2312" w:hAnsi="仿宋_GB2312" w:eastAsia="仿宋_GB2312" w:cs="仿宋_GB2312"/>
          <w:b/>
          <w:color w:val="000000"/>
          <w:sz w:val="32"/>
          <w:szCs w:val="32"/>
        </w:rPr>
        <w:t>四、其他收入</w:t>
      </w:r>
      <w:r>
        <w:rPr>
          <w:rFonts w:hint="eastAsia" w:ascii="仿宋_GB2312" w:hAnsi="仿宋_GB2312" w:eastAsia="仿宋_GB2312" w:cs="仿宋_GB2312"/>
          <w:color w:val="000000"/>
          <w:sz w:val="32"/>
          <w:szCs w:val="32"/>
        </w:rPr>
        <w:t xml:space="preserve"> ：是指除上述“一般公共预算财政拨款收入”、“事业收入”、“事业单位经营收入”等以外的收入。主要是指按规定动用的售房收入、存款利息收入等。</w:t>
      </w:r>
    </w:p>
    <w:p>
      <w:pPr>
        <w:spacing w:line="560" w:lineRule="exact"/>
        <w:ind w:firstLine="629" w:firstLineChars="196"/>
        <w:rPr>
          <w:rFonts w:ascii="仿宋_GB2312" w:hAnsi="仿宋_GB2312" w:eastAsia="仿宋_GB2312" w:cs="仿宋_GB2312"/>
          <w:sz w:val="32"/>
          <w:szCs w:val="32"/>
        </w:rPr>
      </w:pPr>
      <w:r>
        <w:rPr>
          <w:rFonts w:hint="eastAsia" w:ascii="仿宋_GB2312" w:hAnsi="仿宋_GB2312" w:eastAsia="仿宋_GB2312" w:cs="仿宋_GB2312"/>
          <w:b/>
          <w:color w:val="000000"/>
          <w:sz w:val="32"/>
          <w:szCs w:val="32"/>
        </w:rPr>
        <w:t>五、上年结转和结余</w:t>
      </w:r>
      <w:r>
        <w:rPr>
          <w:rFonts w:hint="eastAsia" w:ascii="仿宋_GB2312" w:hAnsi="仿宋_GB2312" w:eastAsia="仿宋_GB2312" w:cs="仿宋_GB2312"/>
          <w:color w:val="000000"/>
          <w:sz w:val="32"/>
          <w:szCs w:val="32"/>
        </w:rPr>
        <w:t>：是指以前年度尚未完成、结转到本年仍按原规定用途继续使用的资金</w:t>
      </w:r>
    </w:p>
    <w:p>
      <w:pPr>
        <w:spacing w:line="560" w:lineRule="exact"/>
        <w:ind w:firstLine="629" w:firstLineChars="196"/>
        <w:rPr>
          <w:rFonts w:ascii="仿宋_GB2312" w:hAnsi="仿宋_GB2312" w:eastAsia="仿宋_GB2312" w:cs="仿宋_GB2312"/>
          <w:sz w:val="32"/>
          <w:szCs w:val="32"/>
        </w:rPr>
      </w:pPr>
      <w:r>
        <w:rPr>
          <w:rFonts w:hint="eastAsia" w:ascii="仿宋_GB2312" w:hAnsi="仿宋_GB2312" w:eastAsia="仿宋_GB2312" w:cs="仿宋_GB2312"/>
          <w:b/>
          <w:sz w:val="32"/>
          <w:szCs w:val="32"/>
        </w:rPr>
        <w:t>六、基本支出</w:t>
      </w:r>
      <w:r>
        <w:rPr>
          <w:rFonts w:hint="eastAsia" w:ascii="仿宋_GB2312" w:hAnsi="仿宋_GB2312" w:eastAsia="仿宋_GB2312" w:cs="仿宋_GB2312"/>
          <w:sz w:val="32"/>
          <w:szCs w:val="32"/>
        </w:rPr>
        <w:t>：指各单位为保障机构正常运转和完成日常工作任务发生的支出，包括人员支出和公用支出。</w:t>
      </w:r>
    </w:p>
    <w:p>
      <w:pPr>
        <w:spacing w:line="560" w:lineRule="exact"/>
        <w:ind w:firstLine="629" w:firstLineChars="196"/>
        <w:rPr>
          <w:rFonts w:ascii="仿宋_GB2312" w:hAnsi="仿宋_GB2312" w:eastAsia="仿宋_GB2312" w:cs="仿宋_GB2312"/>
          <w:sz w:val="32"/>
          <w:szCs w:val="32"/>
        </w:rPr>
      </w:pPr>
      <w:r>
        <w:rPr>
          <w:rFonts w:hint="eastAsia" w:ascii="仿宋_GB2312" w:hAnsi="仿宋_GB2312" w:eastAsia="仿宋_GB2312" w:cs="仿宋_GB2312"/>
          <w:b/>
          <w:sz w:val="32"/>
          <w:szCs w:val="32"/>
        </w:rPr>
        <w:t>七、项目支出</w:t>
      </w:r>
      <w:r>
        <w:rPr>
          <w:rFonts w:hint="eastAsia" w:ascii="仿宋_GB2312" w:hAnsi="仿宋_GB2312" w:eastAsia="仿宋_GB2312" w:cs="仿宋_GB2312"/>
          <w:sz w:val="32"/>
          <w:szCs w:val="32"/>
        </w:rPr>
        <w:t>：指各单位为完成特定的工作任务，在基本支出之外发生的专项性支出。</w:t>
      </w:r>
    </w:p>
    <w:p>
      <w:pPr>
        <w:spacing w:line="560" w:lineRule="exact"/>
        <w:ind w:firstLine="629" w:firstLineChars="196"/>
        <w:rPr>
          <w:rFonts w:ascii="仿宋_GB2312" w:hAnsi="仿宋_GB2312" w:eastAsia="仿宋_GB2312" w:cs="仿宋_GB2312"/>
          <w:sz w:val="32"/>
          <w:szCs w:val="32"/>
        </w:rPr>
      </w:pPr>
      <w:r>
        <w:rPr>
          <w:rFonts w:hint="eastAsia" w:ascii="仿宋_GB2312" w:hAnsi="仿宋_GB2312" w:eastAsia="仿宋_GB2312" w:cs="仿宋_GB2312"/>
          <w:b/>
          <w:sz w:val="32"/>
          <w:szCs w:val="32"/>
        </w:rPr>
        <w:t>八、工资福利支出（支出经济分类科目类级）</w:t>
      </w:r>
      <w:r>
        <w:rPr>
          <w:rFonts w:hint="eastAsia" w:ascii="仿宋_GB2312" w:hAnsi="仿宋_GB2312" w:eastAsia="仿宋_GB2312" w:cs="仿宋_GB2312"/>
          <w:sz w:val="32"/>
          <w:szCs w:val="32"/>
        </w:rPr>
        <w:t>：反映单位开支的在职职工和编制外长期聘用人员的各类劳动报酬，经及上述人员缴纳的各项社会保险费等。</w:t>
      </w:r>
    </w:p>
    <w:p>
      <w:pPr>
        <w:spacing w:line="560" w:lineRule="exact"/>
        <w:ind w:firstLine="629" w:firstLineChars="196"/>
        <w:rPr>
          <w:rFonts w:ascii="仿宋_GB2312" w:hAnsi="仿宋_GB2312" w:eastAsia="仿宋_GB2312" w:cs="仿宋_GB2312"/>
          <w:sz w:val="32"/>
          <w:szCs w:val="32"/>
        </w:rPr>
      </w:pPr>
      <w:r>
        <w:rPr>
          <w:rFonts w:hint="eastAsia" w:ascii="仿宋_GB2312" w:hAnsi="仿宋_GB2312" w:eastAsia="仿宋_GB2312" w:cs="仿宋_GB2312"/>
          <w:b/>
          <w:sz w:val="32"/>
          <w:szCs w:val="32"/>
        </w:rPr>
        <w:t>九、商品和服务支出（支出经济分类科目类级）</w:t>
      </w:r>
      <w:r>
        <w:rPr>
          <w:rFonts w:hint="eastAsia" w:ascii="仿宋_GB2312" w:hAnsi="仿宋_GB2312" w:eastAsia="仿宋_GB2312" w:cs="仿宋_GB2312"/>
          <w:sz w:val="32"/>
          <w:szCs w:val="32"/>
        </w:rPr>
        <w:t>：反映单位购买商品和服务的支出（不包括用于购置固定资产的支出、战略性和应急储备支出）。</w:t>
      </w:r>
    </w:p>
    <w:p>
      <w:pPr>
        <w:spacing w:line="560" w:lineRule="exact"/>
        <w:ind w:firstLine="629" w:firstLineChars="196"/>
        <w:rPr>
          <w:rFonts w:ascii="仿宋_GB2312" w:hAnsi="仿宋_GB2312" w:eastAsia="仿宋_GB2312" w:cs="仿宋_GB2312"/>
          <w:sz w:val="32"/>
          <w:szCs w:val="32"/>
        </w:rPr>
      </w:pPr>
      <w:r>
        <w:rPr>
          <w:rFonts w:hint="eastAsia" w:ascii="仿宋_GB2312" w:hAnsi="仿宋_GB2312" w:eastAsia="仿宋_GB2312" w:cs="仿宋_GB2312"/>
          <w:b/>
          <w:sz w:val="32"/>
          <w:szCs w:val="32"/>
        </w:rPr>
        <w:t>十、对个人和家庭的补助（支出经济分类科目类级）：</w:t>
      </w:r>
      <w:r>
        <w:rPr>
          <w:rFonts w:hint="eastAsia" w:ascii="仿宋_GB2312" w:hAnsi="仿宋_GB2312" w:eastAsia="仿宋_GB2312" w:cs="仿宋_GB2312"/>
          <w:sz w:val="32"/>
          <w:szCs w:val="32"/>
        </w:rPr>
        <w:t>反映政府用于对个人和家庭的补助支出。</w:t>
      </w:r>
    </w:p>
    <w:p>
      <w:pPr>
        <w:spacing w:line="560" w:lineRule="exact"/>
        <w:ind w:firstLine="629" w:firstLineChars="196"/>
        <w:rPr>
          <w:rFonts w:ascii="仿宋_GB2312" w:hAnsi="仿宋_GB2312" w:eastAsia="仿宋_GB2312" w:cs="仿宋_GB2312"/>
          <w:sz w:val="32"/>
          <w:szCs w:val="32"/>
        </w:rPr>
      </w:pPr>
      <w:r>
        <w:rPr>
          <w:rFonts w:hint="eastAsia" w:ascii="仿宋_GB2312" w:hAnsi="仿宋_GB2312" w:eastAsia="仿宋_GB2312" w:cs="仿宋_GB2312"/>
          <w:b/>
          <w:sz w:val="32"/>
          <w:szCs w:val="32"/>
        </w:rPr>
        <w:t>十一、“三公”经费</w:t>
      </w:r>
      <w:r>
        <w:rPr>
          <w:rFonts w:hint="eastAsia" w:ascii="仿宋_GB2312" w:hAnsi="仿宋_GB2312" w:eastAsia="仿宋_GB2312" w:cs="仿宋_GB2312"/>
          <w:sz w:val="32"/>
          <w:szCs w:val="32"/>
        </w:rPr>
        <w:t>：指因公出国（境）经费、公务接待费、公务用车购置及运行经费和公务接待费。其中：公务用车购置及运行经费指部门公务用车购置费及燃料费、维修费、过路过桥费、保险费、安全奖励费用等支出；公务接待费指部门按规定开支的各类公务接待支出。</w:t>
      </w:r>
    </w:p>
    <w:p>
      <w:pPr>
        <w:adjustRightInd w:val="0"/>
        <w:snapToGrid w:val="0"/>
        <w:spacing w:line="560" w:lineRule="exact"/>
        <w:ind w:firstLine="642" w:firstLineChars="200"/>
        <w:rPr>
          <w:rFonts w:ascii="仿宋_GB2312" w:hAnsi="仿宋_GB2312" w:eastAsia="仿宋_GB2312" w:cs="仿宋_GB2312"/>
          <w:sz w:val="32"/>
          <w:szCs w:val="32"/>
        </w:rPr>
      </w:pPr>
      <w:r>
        <w:rPr>
          <w:rFonts w:hint="eastAsia" w:ascii="仿宋_GB2312" w:hAnsi="仿宋_GB2312" w:eastAsia="仿宋_GB2312" w:cs="仿宋_GB2312"/>
          <w:b/>
          <w:sz w:val="32"/>
          <w:szCs w:val="32"/>
        </w:rPr>
        <w:t>十二、机关运行经费</w:t>
      </w:r>
      <w:r>
        <w:rPr>
          <w:rFonts w:hint="eastAsia" w:ascii="仿宋_GB2312" w:hAnsi="仿宋_GB2312" w:eastAsia="仿宋_GB2312" w:cs="仿宋_GB2312"/>
          <w:sz w:val="32"/>
          <w:szCs w:val="32"/>
        </w:rPr>
        <w:t>：是指为保障行政单位（含参照公务员法管理的事业单位）运行，用于购买货物和服务等的各项公用经费，包括办公及印刷费、邮电费、差旅费、会议费、福利费、日常维修费、专业材料及一般设备购置费、办公用房水电费、办公用房取暖费、办公用房物业管理费、公务用车运行维护费以及其他费用。</w:t>
      </w:r>
    </w:p>
    <w:p>
      <w:pPr>
        <w:adjustRightInd w:val="0"/>
        <w:snapToGrid w:val="0"/>
        <w:spacing w:line="560" w:lineRule="exact"/>
        <w:ind w:firstLine="642" w:firstLineChars="200"/>
        <w:rPr>
          <w:rFonts w:ascii="仿宋_GB2312" w:hAnsi="仿宋_GB2312" w:eastAsia="仿宋_GB2312" w:cs="仿宋_GB2312"/>
          <w:sz w:val="32"/>
          <w:szCs w:val="32"/>
        </w:rPr>
      </w:pPr>
      <w:r>
        <w:rPr>
          <w:rFonts w:hint="eastAsia" w:ascii="仿宋_GB2312" w:hAnsi="仿宋_GB2312" w:eastAsia="仿宋_GB2312" w:cs="仿宋_GB2312"/>
          <w:b/>
          <w:sz w:val="32"/>
          <w:szCs w:val="32"/>
        </w:rPr>
        <w:t>十三、事业运转经费</w:t>
      </w:r>
      <w:r>
        <w:rPr>
          <w:rFonts w:hint="eastAsia" w:ascii="仿宋_GB2312" w:hAnsi="仿宋_GB2312" w:eastAsia="仿宋_GB2312" w:cs="仿宋_GB2312"/>
          <w:sz w:val="32"/>
          <w:szCs w:val="32"/>
        </w:rPr>
        <w:t>：是指为保障事业单位（不含参照公务员法管理的事业单位）运行，用于购买货物和服务等的各项公用经费，包括办公及印刷费、邮电费、差旅费、会议费、福利费、日常维修费、专业材料及一般设备购置费、办公用房水电费、办公用房取暖费、办公用房物业管理费、公务用车运行维护费以及其他费用。</w:t>
      </w:r>
    </w:p>
    <w:p>
      <w:pPr>
        <w:adjustRightInd w:val="0"/>
        <w:snapToGrid w:val="0"/>
        <w:spacing w:line="560" w:lineRule="exact"/>
        <w:ind w:firstLine="640" w:firstLineChars="200"/>
        <w:rPr>
          <w:rFonts w:ascii="仿宋_GB2312" w:eastAsia="仿宋_GB2312"/>
          <w:sz w:val="32"/>
          <w:szCs w:val="32"/>
        </w:rPr>
      </w:pPr>
    </w:p>
    <w:p>
      <w:pPr>
        <w:spacing w:line="560" w:lineRule="exact"/>
        <w:ind w:firstLine="705" w:firstLineChars="196"/>
        <w:jc w:val="center"/>
        <w:rPr>
          <w:rFonts w:ascii="黑体" w:hAnsi="黑体" w:eastAsia="黑体"/>
          <w:sz w:val="36"/>
          <w:szCs w:val="36"/>
        </w:rPr>
      </w:pPr>
      <w:r>
        <w:rPr>
          <w:rFonts w:hint="eastAsia" w:ascii="黑体" w:hAnsi="黑体" w:eastAsia="黑体"/>
          <w:sz w:val="36"/>
          <w:szCs w:val="36"/>
        </w:rPr>
        <w:t>第五部分   预算公开联系方式及信息反馈渠道</w:t>
      </w:r>
    </w:p>
    <w:p>
      <w:pPr>
        <w:spacing w:line="560" w:lineRule="exact"/>
        <w:ind w:firstLine="627" w:firstLineChars="196"/>
        <w:jc w:val="center"/>
        <w:rPr>
          <w:rFonts w:ascii="黑体" w:hAnsi="黑体" w:eastAsia="黑体"/>
          <w:sz w:val="32"/>
          <w:szCs w:val="32"/>
        </w:rPr>
      </w:pPr>
    </w:p>
    <w:p>
      <w:pPr>
        <w:spacing w:line="560" w:lineRule="exact"/>
        <w:ind w:firstLine="627" w:firstLineChars="196"/>
        <w:rPr>
          <w:rFonts w:ascii="仿宋_GB2312" w:hAnsi="宋体" w:eastAsia="仿宋_GB2312"/>
          <w:sz w:val="32"/>
          <w:szCs w:val="32"/>
        </w:rPr>
      </w:pPr>
      <w:r>
        <w:rPr>
          <w:rFonts w:hint="eastAsia" w:ascii="仿宋_GB2312" w:hAnsi="宋体" w:eastAsia="仿宋_GB2312"/>
          <w:sz w:val="32"/>
          <w:szCs w:val="32"/>
        </w:rPr>
        <w:t>本单位预算公开信息反馈和联系方式：</w:t>
      </w:r>
    </w:p>
    <w:p>
      <w:pPr>
        <w:spacing w:line="560" w:lineRule="exact"/>
        <w:ind w:firstLine="627" w:firstLineChars="196"/>
        <w:rPr>
          <w:rFonts w:ascii="仿宋_GB2312" w:hAnsi="宋体" w:eastAsia="仿宋_GB2312"/>
          <w:sz w:val="32"/>
          <w:szCs w:val="32"/>
        </w:rPr>
      </w:pPr>
      <w:r>
        <w:rPr>
          <w:rFonts w:hint="eastAsia" w:ascii="仿宋_GB2312" w:hAnsi="宋体" w:eastAsia="仿宋_GB2312"/>
          <w:sz w:val="32"/>
          <w:szCs w:val="32"/>
        </w:rPr>
        <w:t>联系人：董　卫   联系电话：0470－8105163</w:t>
      </w:r>
    </w:p>
    <w:p>
      <w:pPr>
        <w:spacing w:line="560" w:lineRule="exact"/>
        <w:ind w:firstLine="627" w:firstLineChars="196"/>
        <w:jc w:val="center"/>
        <w:rPr>
          <w:rFonts w:ascii="黑体" w:hAnsi="黑体" w:eastAsia="黑体"/>
          <w:sz w:val="32"/>
          <w:szCs w:val="32"/>
        </w:rPr>
      </w:pPr>
    </w:p>
    <w:p>
      <w:pPr>
        <w:spacing w:line="560" w:lineRule="exact"/>
        <w:ind w:firstLine="705" w:firstLineChars="196"/>
        <w:jc w:val="center"/>
        <w:rPr>
          <w:rFonts w:ascii="黑体" w:hAnsi="黑体" w:eastAsia="黑体"/>
          <w:sz w:val="32"/>
          <w:szCs w:val="32"/>
        </w:rPr>
      </w:pPr>
      <w:r>
        <w:rPr>
          <w:rFonts w:hint="eastAsia" w:ascii="黑体" w:hAnsi="黑体" w:eastAsia="黑体"/>
          <w:sz w:val="36"/>
          <w:szCs w:val="36"/>
        </w:rPr>
        <w:t>第六部分   部门预算公开表</w:t>
      </w:r>
    </w:p>
    <w:p>
      <w:pPr>
        <w:spacing w:line="560" w:lineRule="exact"/>
        <w:ind w:firstLine="627" w:firstLineChars="196"/>
        <w:jc w:val="center"/>
        <w:rPr>
          <w:rFonts w:ascii="黑体" w:hAnsi="黑体" w:eastAsia="黑体"/>
          <w:sz w:val="32"/>
          <w:szCs w:val="32"/>
        </w:rPr>
      </w:pPr>
    </w:p>
    <w:p>
      <w:pPr>
        <w:spacing w:line="560" w:lineRule="exact"/>
        <w:ind w:firstLine="627" w:firstLineChars="196"/>
        <w:rPr>
          <w:rFonts w:ascii="黑体" w:hAnsi="黑体" w:eastAsia="黑体"/>
          <w:sz w:val="32"/>
          <w:szCs w:val="32"/>
        </w:rPr>
      </w:pPr>
      <w:r>
        <w:rPr>
          <w:rFonts w:hint="eastAsia" w:ascii="黑体" w:hAnsi="黑体" w:eastAsia="黑体"/>
          <w:sz w:val="32"/>
          <w:szCs w:val="32"/>
        </w:rPr>
        <w:t>附表：</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　　部门预算公开表</w:t>
      </w:r>
    </w:p>
    <w:p>
      <w:pP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w:t>
      </w:r>
    </w:p>
    <w:p>
      <w:pP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w:t>
      </w:r>
    </w:p>
    <w:p>
      <w:pP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呼伦贝尔市扶贫开发办公室</w:t>
      </w:r>
    </w:p>
    <w:p>
      <w:pPr>
        <w:spacing w:line="560" w:lineRule="exact"/>
        <w:ind w:firstLine="4640" w:firstLineChars="1450"/>
        <w:rPr>
          <w:rFonts w:ascii="仿宋_GB2312" w:hAnsi="仿宋_GB2312" w:eastAsia="仿宋_GB2312" w:cs="仿宋_GB2312"/>
          <w:sz w:val="32"/>
          <w:szCs w:val="32"/>
        </w:rPr>
      </w:pPr>
      <w:r>
        <w:rPr>
          <w:rFonts w:hint="eastAsia" w:ascii="仿宋_GB2312" w:hAnsi="仿宋_GB2312" w:eastAsia="仿宋_GB2312" w:cs="仿宋_GB2312"/>
          <w:sz w:val="32"/>
          <w:szCs w:val="32"/>
        </w:rPr>
        <w:t>2020年5月26日</w:t>
      </w:r>
    </w:p>
    <w:p>
      <w:pPr>
        <w:spacing w:line="560" w:lineRule="exact"/>
        <w:ind w:firstLine="315" w:firstLineChars="150"/>
      </w:pPr>
    </w:p>
    <w:sectPr>
      <w:footerReference r:id="rId3" w:type="default"/>
      <w:footerReference r:id="rId4"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Verdana">
    <w:altName w:val="Ubuntu"/>
    <w:panose1 w:val="020B0604030504040204"/>
    <w:charset w:val="00"/>
    <w:family w:val="swiss"/>
    <w:pitch w:val="default"/>
    <w:sig w:usb0="00000000" w:usb1="00000000"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楷体">
    <w:altName w:val="方正楷体_GBK"/>
    <w:panose1 w:val="02010609060101010101"/>
    <w:charset w:val="86"/>
    <w:family w:val="modern"/>
    <w:pitch w:val="default"/>
    <w:sig w:usb0="00000000" w:usb1="00000000"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楷体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Ubuntu">
    <w:panose1 w:val="020B0604030602030204"/>
    <w:charset w:val="00"/>
    <w:family w:val="auto"/>
    <w:pitch w:val="default"/>
    <w:sig w:usb0="E00002FF" w:usb1="5000205B" w:usb2="00000000" w:usb3="00000000" w:csb0="2000009F" w:csb1="56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9"/>
      </w:rPr>
    </w:pPr>
    <w:r>
      <w:fldChar w:fldCharType="begin"/>
    </w:r>
    <w:r>
      <w:rPr>
        <w:rStyle w:val="9"/>
      </w:rPr>
      <w:instrText xml:space="preserve">PAGE  </w:instrText>
    </w:r>
    <w:r>
      <w:fldChar w:fldCharType="separate"/>
    </w:r>
    <w:r>
      <w:rPr>
        <w:rStyle w:val="9"/>
      </w:rPr>
      <w:t>16</w:t>
    </w:r>
    <w:r>
      <w:fldChar w:fldCharType="end"/>
    </w: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9"/>
      </w:rPr>
    </w:pPr>
    <w:r>
      <w:fldChar w:fldCharType="begin"/>
    </w:r>
    <w:r>
      <w:rPr>
        <w:rStyle w:val="9"/>
      </w:rPr>
      <w:instrText xml:space="preserve">PAGE  </w:instrText>
    </w:r>
    <w: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true"/>
  <w:bordersDoNotSurroundHeader w:val="true"/>
  <w:bordersDoNotSurroundFooter w:val="tru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2"/>
  </w:compat>
  <w:rsids>
    <w:rsidRoot w:val="00172A27"/>
    <w:rsid w:val="00015AD3"/>
    <w:rsid w:val="00015B21"/>
    <w:rsid w:val="00016267"/>
    <w:rsid w:val="000175DA"/>
    <w:rsid w:val="00025CAC"/>
    <w:rsid w:val="00032329"/>
    <w:rsid w:val="0003690C"/>
    <w:rsid w:val="00046284"/>
    <w:rsid w:val="00056985"/>
    <w:rsid w:val="00062C7A"/>
    <w:rsid w:val="00067C52"/>
    <w:rsid w:val="0008217C"/>
    <w:rsid w:val="00087BF9"/>
    <w:rsid w:val="0009408F"/>
    <w:rsid w:val="000A35BC"/>
    <w:rsid w:val="000A39FD"/>
    <w:rsid w:val="000A56F3"/>
    <w:rsid w:val="000A6042"/>
    <w:rsid w:val="000A64F3"/>
    <w:rsid w:val="000B7FD2"/>
    <w:rsid w:val="000C1DE7"/>
    <w:rsid w:val="000C2910"/>
    <w:rsid w:val="000C3216"/>
    <w:rsid w:val="000D0B67"/>
    <w:rsid w:val="000D35F4"/>
    <w:rsid w:val="000D5FD3"/>
    <w:rsid w:val="000E093F"/>
    <w:rsid w:val="000E1822"/>
    <w:rsid w:val="000E1F83"/>
    <w:rsid w:val="000E400E"/>
    <w:rsid w:val="000E7143"/>
    <w:rsid w:val="000F052A"/>
    <w:rsid w:val="00126948"/>
    <w:rsid w:val="00130ED7"/>
    <w:rsid w:val="00143819"/>
    <w:rsid w:val="00147B92"/>
    <w:rsid w:val="00172A27"/>
    <w:rsid w:val="00177C3D"/>
    <w:rsid w:val="00177F01"/>
    <w:rsid w:val="001819D6"/>
    <w:rsid w:val="00183486"/>
    <w:rsid w:val="00185382"/>
    <w:rsid w:val="001A1ED2"/>
    <w:rsid w:val="001A4E1B"/>
    <w:rsid w:val="001A5CDB"/>
    <w:rsid w:val="001B1859"/>
    <w:rsid w:val="001B21BD"/>
    <w:rsid w:val="001B4C15"/>
    <w:rsid w:val="001C0550"/>
    <w:rsid w:val="001D2458"/>
    <w:rsid w:val="001F4D0A"/>
    <w:rsid w:val="0020224B"/>
    <w:rsid w:val="00205CE9"/>
    <w:rsid w:val="00227591"/>
    <w:rsid w:val="002303A9"/>
    <w:rsid w:val="00240563"/>
    <w:rsid w:val="00251880"/>
    <w:rsid w:val="00255190"/>
    <w:rsid w:val="002556DD"/>
    <w:rsid w:val="00257C59"/>
    <w:rsid w:val="002765EF"/>
    <w:rsid w:val="00277BE7"/>
    <w:rsid w:val="00287DF4"/>
    <w:rsid w:val="00296432"/>
    <w:rsid w:val="002A0B4C"/>
    <w:rsid w:val="002A4710"/>
    <w:rsid w:val="002A4CAC"/>
    <w:rsid w:val="002C3D1F"/>
    <w:rsid w:val="002C4866"/>
    <w:rsid w:val="002E0E83"/>
    <w:rsid w:val="002E2152"/>
    <w:rsid w:val="002E4815"/>
    <w:rsid w:val="002F3B44"/>
    <w:rsid w:val="002F3FD8"/>
    <w:rsid w:val="002F48E0"/>
    <w:rsid w:val="002F5806"/>
    <w:rsid w:val="00300D27"/>
    <w:rsid w:val="003018B5"/>
    <w:rsid w:val="00303307"/>
    <w:rsid w:val="00324FD1"/>
    <w:rsid w:val="00326BAF"/>
    <w:rsid w:val="00331B80"/>
    <w:rsid w:val="00333F84"/>
    <w:rsid w:val="00336132"/>
    <w:rsid w:val="00336188"/>
    <w:rsid w:val="00341EF8"/>
    <w:rsid w:val="003428D1"/>
    <w:rsid w:val="003501CE"/>
    <w:rsid w:val="00361289"/>
    <w:rsid w:val="00362757"/>
    <w:rsid w:val="0036707D"/>
    <w:rsid w:val="00377666"/>
    <w:rsid w:val="00381B54"/>
    <w:rsid w:val="003979AC"/>
    <w:rsid w:val="003A0288"/>
    <w:rsid w:val="003A4FF0"/>
    <w:rsid w:val="003A68FF"/>
    <w:rsid w:val="003C5DC2"/>
    <w:rsid w:val="003D0605"/>
    <w:rsid w:val="003D1395"/>
    <w:rsid w:val="003D343B"/>
    <w:rsid w:val="003E7B4E"/>
    <w:rsid w:val="003F2637"/>
    <w:rsid w:val="003F3455"/>
    <w:rsid w:val="00403E14"/>
    <w:rsid w:val="00410DFD"/>
    <w:rsid w:val="00420D21"/>
    <w:rsid w:val="004227F7"/>
    <w:rsid w:val="00423287"/>
    <w:rsid w:val="004312C7"/>
    <w:rsid w:val="00432143"/>
    <w:rsid w:val="004333AA"/>
    <w:rsid w:val="00442B15"/>
    <w:rsid w:val="00453EA4"/>
    <w:rsid w:val="004548F9"/>
    <w:rsid w:val="0046046E"/>
    <w:rsid w:val="004645E3"/>
    <w:rsid w:val="00464EBE"/>
    <w:rsid w:val="004666AA"/>
    <w:rsid w:val="004814A5"/>
    <w:rsid w:val="00485A8C"/>
    <w:rsid w:val="004860F8"/>
    <w:rsid w:val="0049287C"/>
    <w:rsid w:val="00493D11"/>
    <w:rsid w:val="004A7AD2"/>
    <w:rsid w:val="004A7DD0"/>
    <w:rsid w:val="004B0BE7"/>
    <w:rsid w:val="004B7D04"/>
    <w:rsid w:val="004C3D72"/>
    <w:rsid w:val="004C45E1"/>
    <w:rsid w:val="004D7C49"/>
    <w:rsid w:val="004E44D5"/>
    <w:rsid w:val="00505273"/>
    <w:rsid w:val="0051556C"/>
    <w:rsid w:val="00517031"/>
    <w:rsid w:val="00521547"/>
    <w:rsid w:val="00524245"/>
    <w:rsid w:val="00533A10"/>
    <w:rsid w:val="0053459C"/>
    <w:rsid w:val="0054206A"/>
    <w:rsid w:val="005448D5"/>
    <w:rsid w:val="005512AF"/>
    <w:rsid w:val="0055266F"/>
    <w:rsid w:val="005544CE"/>
    <w:rsid w:val="005549ED"/>
    <w:rsid w:val="005553C2"/>
    <w:rsid w:val="00557EDA"/>
    <w:rsid w:val="005660DF"/>
    <w:rsid w:val="0057005B"/>
    <w:rsid w:val="005724CE"/>
    <w:rsid w:val="00592038"/>
    <w:rsid w:val="005A3B9E"/>
    <w:rsid w:val="005A55EA"/>
    <w:rsid w:val="005B065F"/>
    <w:rsid w:val="005B5791"/>
    <w:rsid w:val="005C5C43"/>
    <w:rsid w:val="005C7FC7"/>
    <w:rsid w:val="005D1DBA"/>
    <w:rsid w:val="005E118C"/>
    <w:rsid w:val="005E24CE"/>
    <w:rsid w:val="00604836"/>
    <w:rsid w:val="00612B21"/>
    <w:rsid w:val="00622F9A"/>
    <w:rsid w:val="006316B2"/>
    <w:rsid w:val="00636D7D"/>
    <w:rsid w:val="00640BF2"/>
    <w:rsid w:val="00643979"/>
    <w:rsid w:val="00650AA7"/>
    <w:rsid w:val="00653AA0"/>
    <w:rsid w:val="00654FD7"/>
    <w:rsid w:val="00655624"/>
    <w:rsid w:val="00660031"/>
    <w:rsid w:val="00663807"/>
    <w:rsid w:val="00680480"/>
    <w:rsid w:val="00680F94"/>
    <w:rsid w:val="00681D16"/>
    <w:rsid w:val="00687597"/>
    <w:rsid w:val="00693A85"/>
    <w:rsid w:val="006B2BB9"/>
    <w:rsid w:val="006B5D4F"/>
    <w:rsid w:val="006B717A"/>
    <w:rsid w:val="006C0564"/>
    <w:rsid w:val="006C11F9"/>
    <w:rsid w:val="006C7207"/>
    <w:rsid w:val="006D4800"/>
    <w:rsid w:val="006D62E8"/>
    <w:rsid w:val="006E28B9"/>
    <w:rsid w:val="006E70A8"/>
    <w:rsid w:val="006E722A"/>
    <w:rsid w:val="006F6FCF"/>
    <w:rsid w:val="00700E5C"/>
    <w:rsid w:val="00711750"/>
    <w:rsid w:val="007154DE"/>
    <w:rsid w:val="0071763E"/>
    <w:rsid w:val="00725132"/>
    <w:rsid w:val="00733825"/>
    <w:rsid w:val="00734726"/>
    <w:rsid w:val="00734728"/>
    <w:rsid w:val="00750E45"/>
    <w:rsid w:val="0075191F"/>
    <w:rsid w:val="007556B7"/>
    <w:rsid w:val="00774ED9"/>
    <w:rsid w:val="007776B5"/>
    <w:rsid w:val="00786E33"/>
    <w:rsid w:val="0079382C"/>
    <w:rsid w:val="00793E01"/>
    <w:rsid w:val="00795A58"/>
    <w:rsid w:val="007967C7"/>
    <w:rsid w:val="007A3C80"/>
    <w:rsid w:val="007A3F41"/>
    <w:rsid w:val="007B097B"/>
    <w:rsid w:val="007B24A7"/>
    <w:rsid w:val="007B4C5E"/>
    <w:rsid w:val="007D3ACC"/>
    <w:rsid w:val="007E0C22"/>
    <w:rsid w:val="007E3A3E"/>
    <w:rsid w:val="007E7D14"/>
    <w:rsid w:val="007F31E1"/>
    <w:rsid w:val="008028B8"/>
    <w:rsid w:val="008039C0"/>
    <w:rsid w:val="00804D32"/>
    <w:rsid w:val="00807F5A"/>
    <w:rsid w:val="008201AD"/>
    <w:rsid w:val="008246EC"/>
    <w:rsid w:val="00834CE3"/>
    <w:rsid w:val="00841362"/>
    <w:rsid w:val="00843EE0"/>
    <w:rsid w:val="00845BA1"/>
    <w:rsid w:val="0085061E"/>
    <w:rsid w:val="00853D9C"/>
    <w:rsid w:val="00854F5A"/>
    <w:rsid w:val="0086035C"/>
    <w:rsid w:val="00860DE8"/>
    <w:rsid w:val="00867DAC"/>
    <w:rsid w:val="008726E1"/>
    <w:rsid w:val="00876421"/>
    <w:rsid w:val="008913E0"/>
    <w:rsid w:val="008A503D"/>
    <w:rsid w:val="008B0090"/>
    <w:rsid w:val="008B1334"/>
    <w:rsid w:val="008B552C"/>
    <w:rsid w:val="008B6111"/>
    <w:rsid w:val="008B6C6C"/>
    <w:rsid w:val="00907357"/>
    <w:rsid w:val="009104AD"/>
    <w:rsid w:val="00917381"/>
    <w:rsid w:val="009204DB"/>
    <w:rsid w:val="00920CD3"/>
    <w:rsid w:val="00925FFD"/>
    <w:rsid w:val="0093250C"/>
    <w:rsid w:val="00941F5A"/>
    <w:rsid w:val="00946A92"/>
    <w:rsid w:val="009505B1"/>
    <w:rsid w:val="00952BAF"/>
    <w:rsid w:val="0095595E"/>
    <w:rsid w:val="00960CEF"/>
    <w:rsid w:val="0096304D"/>
    <w:rsid w:val="0096742A"/>
    <w:rsid w:val="0096774E"/>
    <w:rsid w:val="00970960"/>
    <w:rsid w:val="0098655A"/>
    <w:rsid w:val="00987A28"/>
    <w:rsid w:val="00993420"/>
    <w:rsid w:val="0099782D"/>
    <w:rsid w:val="009A44F4"/>
    <w:rsid w:val="009A4FD8"/>
    <w:rsid w:val="009A718D"/>
    <w:rsid w:val="009C111D"/>
    <w:rsid w:val="009C5E2B"/>
    <w:rsid w:val="009C7141"/>
    <w:rsid w:val="009D14A2"/>
    <w:rsid w:val="009D1FCF"/>
    <w:rsid w:val="009D5F3D"/>
    <w:rsid w:val="009E69A6"/>
    <w:rsid w:val="009E6DCF"/>
    <w:rsid w:val="009F1D35"/>
    <w:rsid w:val="009F596D"/>
    <w:rsid w:val="00A11CAC"/>
    <w:rsid w:val="00A25A89"/>
    <w:rsid w:val="00A25F17"/>
    <w:rsid w:val="00A31D12"/>
    <w:rsid w:val="00A324C4"/>
    <w:rsid w:val="00A32E0C"/>
    <w:rsid w:val="00A33E3F"/>
    <w:rsid w:val="00A34C1B"/>
    <w:rsid w:val="00A430F1"/>
    <w:rsid w:val="00A45C41"/>
    <w:rsid w:val="00A462C4"/>
    <w:rsid w:val="00A65AED"/>
    <w:rsid w:val="00A72E2B"/>
    <w:rsid w:val="00A73086"/>
    <w:rsid w:val="00A82E5A"/>
    <w:rsid w:val="00AA1220"/>
    <w:rsid w:val="00AB0C48"/>
    <w:rsid w:val="00AB573B"/>
    <w:rsid w:val="00AB763D"/>
    <w:rsid w:val="00AC5F92"/>
    <w:rsid w:val="00AD44AD"/>
    <w:rsid w:val="00AF02B5"/>
    <w:rsid w:val="00AF5A30"/>
    <w:rsid w:val="00AF7928"/>
    <w:rsid w:val="00B0614A"/>
    <w:rsid w:val="00B07278"/>
    <w:rsid w:val="00B106BF"/>
    <w:rsid w:val="00B12271"/>
    <w:rsid w:val="00B157CD"/>
    <w:rsid w:val="00B15F95"/>
    <w:rsid w:val="00B21503"/>
    <w:rsid w:val="00B261DE"/>
    <w:rsid w:val="00B300BB"/>
    <w:rsid w:val="00B40E97"/>
    <w:rsid w:val="00B56DBC"/>
    <w:rsid w:val="00B6061B"/>
    <w:rsid w:val="00B62D24"/>
    <w:rsid w:val="00B64628"/>
    <w:rsid w:val="00B67F2E"/>
    <w:rsid w:val="00B7303F"/>
    <w:rsid w:val="00B7427B"/>
    <w:rsid w:val="00B7434E"/>
    <w:rsid w:val="00B75973"/>
    <w:rsid w:val="00B838AC"/>
    <w:rsid w:val="00B952F3"/>
    <w:rsid w:val="00BA4E38"/>
    <w:rsid w:val="00BA508F"/>
    <w:rsid w:val="00BA5422"/>
    <w:rsid w:val="00BA76D6"/>
    <w:rsid w:val="00BB1C5E"/>
    <w:rsid w:val="00BB211D"/>
    <w:rsid w:val="00BB730B"/>
    <w:rsid w:val="00BD0C04"/>
    <w:rsid w:val="00BD0E6C"/>
    <w:rsid w:val="00BD7288"/>
    <w:rsid w:val="00BE23C7"/>
    <w:rsid w:val="00BE6621"/>
    <w:rsid w:val="00BF30BC"/>
    <w:rsid w:val="00BF3B6E"/>
    <w:rsid w:val="00BF3D67"/>
    <w:rsid w:val="00BF759A"/>
    <w:rsid w:val="00C03C4A"/>
    <w:rsid w:val="00C10FF2"/>
    <w:rsid w:val="00C11874"/>
    <w:rsid w:val="00C14AB4"/>
    <w:rsid w:val="00C16A2A"/>
    <w:rsid w:val="00C216A7"/>
    <w:rsid w:val="00C2266C"/>
    <w:rsid w:val="00C23D9E"/>
    <w:rsid w:val="00C25901"/>
    <w:rsid w:val="00C25F68"/>
    <w:rsid w:val="00C313CA"/>
    <w:rsid w:val="00C3663E"/>
    <w:rsid w:val="00C433F6"/>
    <w:rsid w:val="00C46334"/>
    <w:rsid w:val="00C506B7"/>
    <w:rsid w:val="00C52BEB"/>
    <w:rsid w:val="00C558FD"/>
    <w:rsid w:val="00C57BE6"/>
    <w:rsid w:val="00C64781"/>
    <w:rsid w:val="00C6642D"/>
    <w:rsid w:val="00C7061E"/>
    <w:rsid w:val="00C717F2"/>
    <w:rsid w:val="00C851FE"/>
    <w:rsid w:val="00C972F7"/>
    <w:rsid w:val="00CA0E18"/>
    <w:rsid w:val="00CB0C2A"/>
    <w:rsid w:val="00CB4032"/>
    <w:rsid w:val="00CF5063"/>
    <w:rsid w:val="00D04328"/>
    <w:rsid w:val="00D26500"/>
    <w:rsid w:val="00D31F03"/>
    <w:rsid w:val="00D32BF0"/>
    <w:rsid w:val="00D34492"/>
    <w:rsid w:val="00D3510D"/>
    <w:rsid w:val="00D372F9"/>
    <w:rsid w:val="00D415AA"/>
    <w:rsid w:val="00D44B71"/>
    <w:rsid w:val="00D4518E"/>
    <w:rsid w:val="00D56BCE"/>
    <w:rsid w:val="00D6094F"/>
    <w:rsid w:val="00D67553"/>
    <w:rsid w:val="00D72641"/>
    <w:rsid w:val="00D72FFB"/>
    <w:rsid w:val="00D74A48"/>
    <w:rsid w:val="00D75D13"/>
    <w:rsid w:val="00D82D8F"/>
    <w:rsid w:val="00D91F98"/>
    <w:rsid w:val="00DB2A61"/>
    <w:rsid w:val="00DB413B"/>
    <w:rsid w:val="00DC19AD"/>
    <w:rsid w:val="00DC3A78"/>
    <w:rsid w:val="00DC61BF"/>
    <w:rsid w:val="00DD6F6B"/>
    <w:rsid w:val="00DE6FD5"/>
    <w:rsid w:val="00DF16C3"/>
    <w:rsid w:val="00DF4758"/>
    <w:rsid w:val="00E00043"/>
    <w:rsid w:val="00E024DA"/>
    <w:rsid w:val="00E040DC"/>
    <w:rsid w:val="00E0570D"/>
    <w:rsid w:val="00E14384"/>
    <w:rsid w:val="00E304DE"/>
    <w:rsid w:val="00E33C55"/>
    <w:rsid w:val="00E40C72"/>
    <w:rsid w:val="00E4353A"/>
    <w:rsid w:val="00E43E9A"/>
    <w:rsid w:val="00E45FFA"/>
    <w:rsid w:val="00E52D69"/>
    <w:rsid w:val="00E533C5"/>
    <w:rsid w:val="00E54137"/>
    <w:rsid w:val="00E57947"/>
    <w:rsid w:val="00E660FF"/>
    <w:rsid w:val="00E84773"/>
    <w:rsid w:val="00EA5E1A"/>
    <w:rsid w:val="00EA606A"/>
    <w:rsid w:val="00EB029C"/>
    <w:rsid w:val="00EB64C3"/>
    <w:rsid w:val="00EB682D"/>
    <w:rsid w:val="00EC088F"/>
    <w:rsid w:val="00EC1FE0"/>
    <w:rsid w:val="00EC4986"/>
    <w:rsid w:val="00ED2DF9"/>
    <w:rsid w:val="00ED79D8"/>
    <w:rsid w:val="00EE02E0"/>
    <w:rsid w:val="00EE2976"/>
    <w:rsid w:val="00EF158B"/>
    <w:rsid w:val="00EF622A"/>
    <w:rsid w:val="00EF7250"/>
    <w:rsid w:val="00F03F05"/>
    <w:rsid w:val="00F04DDF"/>
    <w:rsid w:val="00F15E1C"/>
    <w:rsid w:val="00F25B64"/>
    <w:rsid w:val="00F27CC6"/>
    <w:rsid w:val="00F302C9"/>
    <w:rsid w:val="00F3784B"/>
    <w:rsid w:val="00F546F0"/>
    <w:rsid w:val="00F57FB5"/>
    <w:rsid w:val="00F67B04"/>
    <w:rsid w:val="00F83CCE"/>
    <w:rsid w:val="00F84374"/>
    <w:rsid w:val="00F84776"/>
    <w:rsid w:val="00F9073B"/>
    <w:rsid w:val="00F952CD"/>
    <w:rsid w:val="00F97602"/>
    <w:rsid w:val="00F97E44"/>
    <w:rsid w:val="00FA045B"/>
    <w:rsid w:val="00FA2F93"/>
    <w:rsid w:val="00FA7B9E"/>
    <w:rsid w:val="00FB0D81"/>
    <w:rsid w:val="00FB57FE"/>
    <w:rsid w:val="00FC41DA"/>
    <w:rsid w:val="00FC552E"/>
    <w:rsid w:val="00FE1B10"/>
    <w:rsid w:val="00FE1F1F"/>
    <w:rsid w:val="00FE7F02"/>
    <w:rsid w:val="00FF622E"/>
    <w:rsid w:val="019E3CB5"/>
    <w:rsid w:val="05A66E2D"/>
    <w:rsid w:val="06FF5893"/>
    <w:rsid w:val="17B01674"/>
    <w:rsid w:val="17C31EC9"/>
    <w:rsid w:val="1CEA7E43"/>
    <w:rsid w:val="2612655B"/>
    <w:rsid w:val="3E817F0E"/>
    <w:rsid w:val="45793488"/>
    <w:rsid w:val="47B652C1"/>
    <w:rsid w:val="5CA310EA"/>
    <w:rsid w:val="674F3578"/>
    <w:rsid w:val="73676E06"/>
    <w:rsid w:val="77F12BFD"/>
    <w:rsid w:val="7A8226DB"/>
    <w:rsid w:val="7FB035A7"/>
    <w:rsid w:val="7FDFD26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Document Map"/>
    <w:basedOn w:val="1"/>
    <w:semiHidden/>
    <w:qFormat/>
    <w:uiPriority w:val="0"/>
    <w:pPr>
      <w:shd w:val="clear" w:color="auto" w:fill="000080"/>
    </w:pPr>
  </w:style>
  <w:style w:type="paragraph" w:styleId="3">
    <w:name w:val="Balloon Text"/>
    <w:basedOn w:val="1"/>
    <w:link w:val="10"/>
    <w:qFormat/>
    <w:uiPriority w:val="0"/>
    <w:rPr>
      <w:sz w:val="18"/>
      <w:szCs w:val="18"/>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7">
    <w:name w:val="Table Grid"/>
    <w:basedOn w:val="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
    <w:name w:val="page number"/>
    <w:basedOn w:val="8"/>
    <w:qFormat/>
    <w:uiPriority w:val="0"/>
  </w:style>
  <w:style w:type="character" w:customStyle="1" w:styleId="10">
    <w:name w:val="批注框文本 Char"/>
    <w:link w:val="3"/>
    <w:qFormat/>
    <w:uiPriority w:val="0"/>
    <w:rPr>
      <w:kern w:val="2"/>
      <w:sz w:val="18"/>
      <w:szCs w:val="18"/>
    </w:rPr>
  </w:style>
  <w:style w:type="paragraph" w:customStyle="1" w:styleId="11">
    <w:name w:val="Char"/>
    <w:basedOn w:val="1"/>
    <w:qFormat/>
    <w:uiPriority w:val="0"/>
    <w:pPr>
      <w:widowControl/>
      <w:spacing w:after="160" w:line="240" w:lineRule="exact"/>
      <w:jc w:val="left"/>
    </w:pPr>
    <w:rPr>
      <w:szCs w:val="24"/>
    </w:rPr>
  </w:style>
  <w:style w:type="paragraph" w:customStyle="1" w:styleId="12">
    <w:name w:val="Char Char Char Char Char Char Char Char Char Char Char Char Char Char Char"/>
    <w:basedOn w:val="1"/>
    <w:qFormat/>
    <w:uiPriority w:val="0"/>
    <w:pPr>
      <w:tabs>
        <w:tab w:val="right" w:leader="middleDot" w:pos="360"/>
      </w:tabs>
    </w:pPr>
    <w:rPr>
      <w:rFonts w:eastAsia="黑体"/>
      <w:sz w:val="28"/>
      <w:szCs w:val="24"/>
    </w:rPr>
  </w:style>
  <w:style w:type="paragraph" w:customStyle="1" w:styleId="13">
    <w:name w:val="Char Char Char"/>
    <w:basedOn w:val="1"/>
    <w:qFormat/>
    <w:uiPriority w:val="0"/>
    <w:pPr>
      <w:tabs>
        <w:tab w:val="left" w:pos="720"/>
      </w:tabs>
      <w:ind w:left="720" w:hanging="720"/>
    </w:pPr>
    <w:rPr>
      <w:sz w:val="24"/>
      <w:szCs w:val="24"/>
    </w:rPr>
  </w:style>
  <w:style w:type="paragraph" w:customStyle="1" w:styleId="14">
    <w:name w:val="Char1"/>
    <w:basedOn w:val="1"/>
    <w:qFormat/>
    <w:uiPriority w:val="0"/>
    <w:pPr>
      <w:widowControl/>
      <w:spacing w:after="160" w:line="240" w:lineRule="exact"/>
      <w:jc w:val="left"/>
    </w:pPr>
    <w:rPr>
      <w:rFonts w:ascii="Verdana" w:hAnsi="Verdana" w:eastAsia="仿宋_GB2312"/>
      <w:kern w:val="0"/>
      <w:sz w:val="24"/>
      <w:lang w:eastAsia="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daohangxitong.com</Company>
  <Pages>17</Pages>
  <Words>1116</Words>
  <Characters>6362</Characters>
  <Lines>53</Lines>
  <Paragraphs>14</Paragraphs>
  <TotalTime>0</TotalTime>
  <ScaleCrop>false</ScaleCrop>
  <LinksUpToDate>false</LinksUpToDate>
  <CharactersWithSpaces>7464</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2020-05-22T10:54:00Z</dcterms:created>
  <dc:creator>孙耀祖K</dc:creator>
  <cp:lastModifiedBy>kylin</cp:lastModifiedBy>
  <cp:lastPrinted>2020-06-09T09:58:00Z</cp:lastPrinted>
  <dcterms:modified xsi:type="dcterms:W3CDTF">2025-07-18T11:13:45Z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ies>
</file>