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ind w:firstLine="440" w:firstLineChars="100"/>
        <w:jc w:val="both"/>
        <w:rPr>
          <w:rFonts w:hint="eastAsia" w:ascii="CESI黑体-GB2312" w:hAnsi="CESI黑体-GB2312" w:eastAsia="CESI黑体-GB2312" w:cs="CESI黑体-GB2312"/>
          <w:sz w:val="44"/>
          <w:szCs w:val="44"/>
          <w:lang w:val="en" w:eastAsia="zh-CN"/>
        </w:rPr>
      </w:pPr>
      <w:bookmarkStart w:id="0" w:name="_GoBack"/>
      <w:bookmarkEnd w:id="0"/>
      <w:r>
        <w:rPr>
          <w:rFonts w:hint="eastAsia" w:ascii="CESI小标宋-GB2312" w:hAnsi="CESI小标宋-GB2312" w:eastAsia="CESI小标宋-GB2312" w:cs="CESI小标宋-GB2312"/>
          <w:strike w:val="0"/>
          <w:dstrike w:val="0"/>
          <w:color w:val="auto"/>
          <w:spacing w:val="0"/>
          <w:position w:val="0"/>
          <w:sz w:val="44"/>
          <w:szCs w:val="44"/>
          <w:highlight w:val="none"/>
          <w:u w:val="none" w:color="auto"/>
          <w:lang w:val="en" w:eastAsia="zh-CN"/>
        </w:rPr>
        <w:t>2025年全市医疗器械监督检查计划</w:t>
      </w:r>
    </w:p>
    <w:p>
      <w:pPr>
        <w:pStyle w:val="2"/>
        <w:ind w:firstLine="640" w:firstLineChars="200"/>
        <w:rPr>
          <w:rFonts w:hint="eastAsia" w:ascii="CESI黑体-GB2312" w:hAnsi="CESI黑体-GB2312" w:eastAsia="CESI黑体-GB2312" w:cs="CESI黑体-GB2312"/>
          <w:sz w:val="32"/>
          <w:szCs w:val="32"/>
          <w:lang w:eastAsia="zh-CN"/>
        </w:rPr>
      </w:pPr>
    </w:p>
    <w:p>
      <w:pPr>
        <w:pStyle w:val="2"/>
        <w:ind w:firstLine="640" w:firstLineChars="200"/>
        <w:rPr>
          <w:rFonts w:hint="eastAsia" w:ascii="CESI黑体-GB2312" w:hAnsi="CESI黑体-GB2312" w:eastAsia="CESI黑体-GB2312" w:cs="CESI黑体-GB2312"/>
          <w:sz w:val="32"/>
          <w:szCs w:val="32"/>
          <w:lang w:eastAsia="zh-CN"/>
        </w:rPr>
      </w:pPr>
      <w:r>
        <w:rPr>
          <w:rFonts w:hint="eastAsia" w:ascii="CESI黑体-GB2312" w:hAnsi="CESI黑体-GB2312" w:eastAsia="CESI黑体-GB2312" w:cs="CESI黑体-GB2312"/>
          <w:sz w:val="32"/>
          <w:szCs w:val="32"/>
          <w:lang w:eastAsia="zh-CN"/>
        </w:rPr>
        <w:t>一、日常监管工作计划</w:t>
      </w:r>
    </w:p>
    <w:p>
      <w:pPr>
        <w:pStyle w:val="2"/>
        <w:ind w:firstLine="640" w:firstLineChars="200"/>
        <w:rPr>
          <w:rFonts w:hint="eastAsia" w:ascii="仿宋_GB2312" w:hAnsi="仿宋_GB2312" w:eastAsia="仿宋_GB2312" w:cs="仿宋_GB2312"/>
          <w:kern w:val="2"/>
          <w:sz w:val="32"/>
          <w:szCs w:val="32"/>
          <w:lang w:val="en-US" w:eastAsia="zh-CN" w:bidi="ar-SA"/>
        </w:rPr>
      </w:pPr>
      <w:r>
        <w:rPr>
          <w:rFonts w:hint="eastAsia" w:ascii="CESI楷体-GB2312" w:hAnsi="CESI楷体-GB2312" w:eastAsia="CESI楷体-GB2312" w:cs="CESI楷体-GB2312"/>
          <w:sz w:val="32"/>
          <w:szCs w:val="32"/>
        </w:rPr>
        <w:t>（一）经营环节检查</w:t>
      </w:r>
      <w:r>
        <w:rPr>
          <w:rFonts w:hint="eastAsia" w:ascii="CESI仿宋-GB2312" w:hAnsi="CESI仿宋-GB2312" w:eastAsia="CESI仿宋-GB2312" w:cs="CESI仿宋-GB2312"/>
          <w:sz w:val="32"/>
          <w:szCs w:val="32"/>
        </w:rPr>
        <w:t>。</w:t>
      </w:r>
      <w:r>
        <w:rPr>
          <w:rFonts w:hint="eastAsia" w:ascii="仿宋_GB2312" w:hAnsi="仿宋_GB2312" w:eastAsia="仿宋_GB2312" w:cs="仿宋_GB2312"/>
          <w:kern w:val="2"/>
          <w:sz w:val="32"/>
          <w:szCs w:val="32"/>
          <w:lang w:val="en-US" w:eastAsia="zh-CN" w:bidi="ar-SA"/>
        </w:rPr>
        <w:t>一是对辖区内的医疗器械经营企业实施分级监管。医疗器械经营企业监管级别划分为四级，四级监管为最高级别监管，主要监管“为其他医疗器械注册人、备案人和生产经营企业专门提供贮存、运输服务的”及风险会商确定的重点企业，由市级监管。二是对风险程度较高的企业实施三级监管，主要包括本辖区防疫物资储备、集采中选、冷链运输、高值耗材、植介入的批发企业和上年度存在行政处罚或者不良监管信用记录的批发企业。由旗县级进行监管，每年按照《医疗器械经营质量管理规范》开展全项目检查不少于一次；三是对风险程度一般的企业实施二级监管，主要包括除三级、四级监管以外的经营第二、三类医疗器械的批发企业和隐形眼镜、助听器验配、体验类医疗器械经营、网络销售的零售企业。由旗县级进行监管，每年开展检查不少于一次；四是对风险程度较低的企业实施一级监管，主要包括二、三、四级监管以外的其他医疗器械经营企业。由旗县级进行监管，每二年完成一级监管企业全覆盖检查。</w:t>
      </w:r>
    </w:p>
    <w:p>
      <w:pPr>
        <w:pStyle w:val="2"/>
        <w:ind w:firstLine="640" w:firstLineChars="200"/>
        <w:rPr>
          <w:rFonts w:hint="eastAsia" w:ascii="仿宋_GB2312" w:hAnsi="仿宋_GB2312" w:eastAsia="仿宋_GB2312" w:cs="仿宋_GB2312"/>
          <w:kern w:val="2"/>
          <w:sz w:val="32"/>
          <w:szCs w:val="32"/>
          <w:lang w:val="en-US" w:eastAsia="zh-CN" w:bidi="ar-SA"/>
        </w:rPr>
      </w:pPr>
      <w:r>
        <w:rPr>
          <w:rFonts w:hint="eastAsia" w:ascii="CESI楷体-GB2312" w:hAnsi="CESI楷体-GB2312" w:eastAsia="CESI楷体-GB2312" w:cs="CESI楷体-GB2312"/>
          <w:sz w:val="32"/>
          <w:szCs w:val="32"/>
        </w:rPr>
        <w:t>（二）使用环节检查。</w:t>
      </w:r>
      <w:r>
        <w:rPr>
          <w:rFonts w:hint="eastAsia" w:ascii="仿宋_GB2312" w:hAnsi="仿宋_GB2312" w:eastAsia="仿宋_GB2312" w:cs="仿宋_GB2312"/>
          <w:kern w:val="2"/>
          <w:sz w:val="32"/>
          <w:szCs w:val="32"/>
          <w:lang w:val="en-US" w:eastAsia="zh-CN" w:bidi="ar-SA"/>
        </w:rPr>
        <w:t>以无菌和植入性医疗器械、医疗美容用医疗器械、设备类医疗器械为重点，检查使用未经注册或者备案的医疗器械、不落实进货查验制度、设备类维修合法性等违法违规行为，提升使用单位质量管理水平。强化对不良事件监测哨点医院管理和指导，加强主动监测。对辖区内的二、三级医疗机构、专科医院、体检医院、医疗美容机构每年开展不少于一次的监督检查；对辖区内的社区卫生服务中心、个体诊所、口腔诊所等，每两年完成此类使用单位的全覆盖检查。</w:t>
      </w:r>
    </w:p>
    <w:p>
      <w:pPr>
        <w:pStyle w:val="2"/>
        <w:ind w:firstLine="640" w:firstLineChars="200"/>
        <w:rPr>
          <w:rFonts w:hint="eastAsia" w:ascii="仿宋_GB2312" w:hAnsi="仿宋_GB2312" w:eastAsia="仿宋_GB2312" w:cs="仿宋_GB2312"/>
          <w:kern w:val="2"/>
          <w:sz w:val="32"/>
          <w:szCs w:val="32"/>
          <w:lang w:val="en-US" w:eastAsia="zh-CN" w:bidi="ar-SA"/>
        </w:rPr>
      </w:pPr>
      <w:r>
        <w:rPr>
          <w:rFonts w:hint="eastAsia" w:ascii="CESI楷体-GB2312" w:hAnsi="CESI楷体-GB2312" w:eastAsia="CESI楷体-GB2312" w:cs="CESI楷体-GB2312"/>
          <w:sz w:val="32"/>
          <w:szCs w:val="32"/>
        </w:rPr>
        <w:t>（三）网络销售环节检查。</w:t>
      </w:r>
      <w:r>
        <w:rPr>
          <w:rFonts w:hint="eastAsia" w:ascii="仿宋_GB2312" w:hAnsi="仿宋_GB2312" w:eastAsia="仿宋_GB2312" w:cs="仿宋_GB2312"/>
          <w:kern w:val="2"/>
          <w:sz w:val="32"/>
          <w:szCs w:val="32"/>
          <w:lang w:val="en-US" w:eastAsia="zh-CN" w:bidi="ar-SA"/>
        </w:rPr>
        <w:t>以医疗美容、软性亲水接触镜、助听器、贴敷类等产品为重点，加大网络销售监管力度。坚持“线上线下一致”的原则，严厉查处网络销售违法违规行为。监督网络销售企业定期对展示在网络平台上的资质证照进行核对，保证产品和上传资质证照一致。国家网络监测平台推送、自行检查监测发现、群众投诉举报的涉网违法违规线索，及时依法调查，确保处置到位。</w:t>
      </w:r>
    </w:p>
    <w:p>
      <w:pPr>
        <w:pStyle w:val="2"/>
        <w:ind w:firstLine="640" w:firstLineChars="200"/>
        <w:rPr>
          <w:rFonts w:hint="eastAsia" w:ascii="CESI黑体-GB2312" w:hAnsi="CESI黑体-GB2312" w:eastAsia="CESI黑体-GB2312" w:cs="CESI黑体-GB2312"/>
          <w:sz w:val="32"/>
          <w:szCs w:val="32"/>
          <w:lang w:eastAsia="zh-CN"/>
        </w:rPr>
      </w:pPr>
      <w:r>
        <w:rPr>
          <w:rFonts w:hint="eastAsia" w:ascii="CESI黑体-GB2312" w:hAnsi="CESI黑体-GB2312" w:eastAsia="CESI黑体-GB2312" w:cs="CESI黑体-GB2312"/>
          <w:sz w:val="32"/>
          <w:szCs w:val="32"/>
        </w:rPr>
        <w:t>二、开展专项检查</w:t>
      </w:r>
      <w:r>
        <w:rPr>
          <w:rFonts w:hint="eastAsia" w:ascii="CESI黑体-GB2312" w:hAnsi="CESI黑体-GB2312" w:eastAsia="CESI黑体-GB2312" w:cs="CESI黑体-GB2312"/>
          <w:sz w:val="32"/>
          <w:szCs w:val="32"/>
          <w:lang w:eastAsia="zh-CN"/>
        </w:rPr>
        <w:t>计划</w:t>
      </w:r>
    </w:p>
    <w:p>
      <w:pPr>
        <w:pStyle w:val="2"/>
        <w:ind w:firstLine="640" w:firstLineChars="200"/>
        <w:rPr>
          <w:rFonts w:hint="eastAsia" w:ascii="仿宋_GB2312" w:hAnsi="仿宋_GB2312" w:eastAsia="仿宋_GB2312" w:cs="仿宋_GB2312"/>
          <w:kern w:val="2"/>
          <w:sz w:val="32"/>
          <w:szCs w:val="32"/>
          <w:lang w:val="en-US" w:eastAsia="zh-CN" w:bidi="ar-SA"/>
        </w:rPr>
      </w:pPr>
      <w:r>
        <w:rPr>
          <w:rFonts w:hint="eastAsia" w:ascii="CESI楷体-GB2312" w:hAnsi="CESI楷体-GB2312" w:eastAsia="CESI楷体-GB2312" w:cs="CESI楷体-GB2312"/>
          <w:sz w:val="32"/>
          <w:szCs w:val="32"/>
        </w:rPr>
        <w:t>（一）开展青少年近视防治相关医疗器械专项检查。</w:t>
      </w:r>
      <w:r>
        <w:rPr>
          <w:rFonts w:hint="eastAsia" w:ascii="仿宋_GB2312" w:hAnsi="仿宋_GB2312" w:eastAsia="仿宋_GB2312" w:cs="仿宋_GB2312"/>
          <w:kern w:val="2"/>
          <w:sz w:val="32"/>
          <w:szCs w:val="32"/>
          <w:lang w:val="en-US" w:eastAsia="zh-CN" w:bidi="ar-SA"/>
        </w:rPr>
        <w:t>重点关注隐形眼镜（含装饰性彩色隐形眼镜）及其护理产品、眼视光医疗器械、眼用粘弹剂等青少年近视防治相关医疗器械，重点检查眼镜商城、眼镜店、购物商城、校园周边、居民区、视光中心、近视矫正中心等机构，组织现场检查，严厉打击无证经营使用相关医疗器械行为。</w:t>
      </w:r>
    </w:p>
    <w:p>
      <w:pPr>
        <w:pStyle w:val="2"/>
        <w:ind w:firstLine="640" w:firstLineChars="200"/>
        <w:rPr>
          <w:rFonts w:hint="eastAsia" w:ascii="CESI仿宋-GB2312" w:hAnsi="CESI仿宋-GB2312" w:eastAsia="CESI仿宋-GB2312" w:cs="CESI仿宋-GB2312"/>
          <w:sz w:val="32"/>
          <w:szCs w:val="32"/>
        </w:rPr>
      </w:pPr>
      <w:r>
        <w:rPr>
          <w:rFonts w:hint="eastAsia" w:ascii="CESI楷体-GB2312" w:hAnsi="CESI楷体-GB2312" w:eastAsia="CESI楷体-GB2312" w:cs="CESI楷体-GB2312"/>
          <w:sz w:val="32"/>
          <w:szCs w:val="32"/>
        </w:rPr>
        <w:t>（二）开展医疗美容医疗器械专项检查。</w:t>
      </w:r>
      <w:r>
        <w:rPr>
          <w:rFonts w:hint="eastAsia" w:ascii="仿宋_GB2312" w:hAnsi="仿宋_GB2312" w:eastAsia="仿宋_GB2312" w:cs="仿宋_GB2312"/>
          <w:kern w:val="2"/>
          <w:sz w:val="32"/>
          <w:szCs w:val="32"/>
          <w:lang w:val="en-US" w:eastAsia="zh-CN" w:bidi="ar-SA"/>
        </w:rPr>
        <w:t>重点关注注射用透明质酸钠凝胶、射频皮肤治疗仪、激光脱毛仪、显微针、皮秒激光治疗仪、脉冲光治疗仪等产品，加大经营、使用和网络销售等环节的监督检查力度，深挖违法违规案件线索，严厉打击无证经营和使用未经注册医疗器械行为。</w:t>
      </w:r>
    </w:p>
    <w:p>
      <w:pPr>
        <w:pStyle w:val="2"/>
        <w:ind w:firstLine="640" w:firstLineChars="200"/>
        <w:rPr>
          <w:rFonts w:hint="eastAsia" w:ascii="仿宋_GB2312" w:hAnsi="仿宋_GB2312" w:eastAsia="仿宋_GB2312" w:cs="仿宋_GB2312"/>
          <w:kern w:val="2"/>
          <w:sz w:val="32"/>
          <w:szCs w:val="32"/>
          <w:lang w:val="en" w:eastAsia="zh-CN" w:bidi="ar-SA"/>
        </w:rPr>
      </w:pPr>
      <w:r>
        <w:rPr>
          <w:rFonts w:hint="eastAsia" w:ascii="CESI楷体-GB2312" w:hAnsi="CESI楷体-GB2312" w:eastAsia="CESI楷体-GB2312" w:cs="CESI楷体-GB2312"/>
          <w:sz w:val="32"/>
          <w:szCs w:val="32"/>
        </w:rPr>
        <w:t>（三）开展专科医院专项检查。</w:t>
      </w:r>
      <w:r>
        <w:rPr>
          <w:rFonts w:hint="eastAsia" w:ascii="仿宋_GB2312" w:hAnsi="仿宋_GB2312" w:eastAsia="仿宋_GB2312" w:cs="仿宋_GB2312"/>
          <w:kern w:val="2"/>
          <w:sz w:val="32"/>
          <w:szCs w:val="32"/>
          <w:lang w:val="en-US" w:eastAsia="zh-CN" w:bidi="ar-SA"/>
        </w:rPr>
        <w:t>我市现有专科医院37家。对医院使用医疗器械是否有注册证及是否建立进货查验制度、按说明书要求对医疗器械进行储存等行为进行现场检查，严查违法线索，规范使用行为，确保用械安全。</w:t>
      </w:r>
    </w:p>
    <w:p>
      <w:pPr>
        <w:pStyle w:val="7"/>
        <w:ind w:left="0" w:leftChars="0" w:firstLine="0" w:firstLineChars="0"/>
        <w:rPr>
          <w:rFonts w:hint="default" w:ascii="仿宋_GB2312" w:hAnsi="仿宋_GB2312" w:eastAsia="仿宋_GB2312" w:cs="仿宋_GB2312"/>
          <w:kern w:val="2"/>
          <w:sz w:val="32"/>
          <w:szCs w:val="32"/>
          <w:lang w:val="en-US" w:eastAsia="zh-CN" w:bidi="ar-SA"/>
        </w:rPr>
      </w:pPr>
    </w:p>
    <w:sectPr>
      <w:footerReference r:id="rId5" w:type="default"/>
      <w:pgSz w:w="11906" w:h="16838"/>
      <w:pgMar w:top="2098" w:right="1531" w:bottom="1984" w:left="1531" w:header="851" w:footer="992" w:gutter="0"/>
      <w:pgBorders>
        <w:top w:val="none" w:sz="0" w:space="0"/>
        <w:left w:val="none" w:sz="0" w:space="0"/>
        <w:bottom w:val="none" w:sz="0" w:space="0"/>
        <w:right w:val="none" w:sz="0" w:space="0"/>
      </w:pgBorders>
      <w:pgNumType w:fmt="decimal"/>
      <w:cols w:space="0" w:num="1"/>
      <w:rtlGutter w:val="0"/>
      <w:docGrid w:type="lines" w:linePitch="43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
    <w:altName w:val="方正仿宋_GBK"/>
    <w:panose1 w:val="02010609060101010101"/>
    <w:charset w:val="86"/>
    <w:family w:val="auto"/>
    <w:pitch w:val="default"/>
    <w:sig w:usb0="00000000" w:usb1="00000000"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仿宋_GB2312">
    <w:altName w:val="方正仿宋_GBK"/>
    <w:panose1 w:val="02010609030101010101"/>
    <w:charset w:val="86"/>
    <w:family w:val="auto"/>
    <w:pitch w:val="default"/>
    <w:sig w:usb0="00000000" w:usb1="00000000" w:usb2="00000000" w:usb3="00000000" w:csb0="00040000" w:csb1="00000000"/>
  </w:font>
  <w:font w:name="CESI黑体-GB2312">
    <w:panose1 w:val="02000500000000000000"/>
    <w:charset w:val="86"/>
    <w:family w:val="auto"/>
    <w:pitch w:val="default"/>
    <w:sig w:usb0="800002BF" w:usb1="184F6CF8" w:usb2="00000012" w:usb3="00000000" w:csb0="0004000F" w:csb1="00000000"/>
  </w:font>
  <w:font w:name="CESI小标宋-GB2312">
    <w:panose1 w:val="02000500000000000000"/>
    <w:charset w:val="86"/>
    <w:family w:val="auto"/>
    <w:pitch w:val="default"/>
    <w:sig w:usb0="800002AF" w:usb1="084F6CF8" w:usb2="00000010" w:usb3="00000000" w:csb0="0004000F" w:csb1="00000000"/>
  </w:font>
  <w:font w:name="CESI楷体-GB2312">
    <w:panose1 w:val="02000500000000000000"/>
    <w:charset w:val="86"/>
    <w:family w:val="auto"/>
    <w:pitch w:val="default"/>
    <w:sig w:usb0="800002BF" w:usb1="184F6CF8" w:usb2="00000012" w:usb3="00000000" w:csb0="0004000F" w:csb1="00000000"/>
  </w:font>
  <w:font w:name="CESI仿宋-GB2312">
    <w:panose1 w:val="02000500000000000000"/>
    <w:charset w:val="86"/>
    <w:family w:val="auto"/>
    <w:pitch w:val="default"/>
    <w:sig w:usb0="800002AF" w:usb1="084F6CF8" w:usb2="00000010" w:usb3="00000000" w:csb0="0004000F"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8FiLy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A8FiLyGwIAACkEAAAOAAAAAAAAAAEAIAAAADUBAABkcnMvZTJvRG9jLnhtbFBLBQYA&#10;AAAABgAGAFkBAADCBQ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MxZWE5ZDhhMzczN2NlMDJhYWRhOTk4YzIyNTM1MzcifQ=="/>
  </w:docVars>
  <w:rsids>
    <w:rsidRoot w:val="00000000"/>
    <w:rsid w:val="00B92181"/>
    <w:rsid w:val="04224186"/>
    <w:rsid w:val="04246E39"/>
    <w:rsid w:val="04A26BF9"/>
    <w:rsid w:val="04E74E13"/>
    <w:rsid w:val="07632E46"/>
    <w:rsid w:val="08033848"/>
    <w:rsid w:val="08F04F67"/>
    <w:rsid w:val="095C2727"/>
    <w:rsid w:val="0CF214E7"/>
    <w:rsid w:val="0F2B532D"/>
    <w:rsid w:val="0F7C6FF7"/>
    <w:rsid w:val="10E867ED"/>
    <w:rsid w:val="115832F0"/>
    <w:rsid w:val="11A61B4B"/>
    <w:rsid w:val="11B50B03"/>
    <w:rsid w:val="12E6663F"/>
    <w:rsid w:val="135950FD"/>
    <w:rsid w:val="13815A70"/>
    <w:rsid w:val="1394723C"/>
    <w:rsid w:val="14EE2553"/>
    <w:rsid w:val="16377978"/>
    <w:rsid w:val="1693751B"/>
    <w:rsid w:val="16F924D6"/>
    <w:rsid w:val="176D7D6C"/>
    <w:rsid w:val="18432768"/>
    <w:rsid w:val="1C91658C"/>
    <w:rsid w:val="1E0C3498"/>
    <w:rsid w:val="202D3C07"/>
    <w:rsid w:val="217A0ED0"/>
    <w:rsid w:val="21B55BF5"/>
    <w:rsid w:val="22C3175E"/>
    <w:rsid w:val="232B5F11"/>
    <w:rsid w:val="2382248F"/>
    <w:rsid w:val="24B31FF6"/>
    <w:rsid w:val="26381C3C"/>
    <w:rsid w:val="28C674CF"/>
    <w:rsid w:val="298A5BB9"/>
    <w:rsid w:val="2C630B24"/>
    <w:rsid w:val="2C7607D3"/>
    <w:rsid w:val="2DA12B22"/>
    <w:rsid w:val="2DD773A0"/>
    <w:rsid w:val="2E9E47DE"/>
    <w:rsid w:val="2EB11513"/>
    <w:rsid w:val="2FA86D99"/>
    <w:rsid w:val="2FFF4743"/>
    <w:rsid w:val="32FBBE21"/>
    <w:rsid w:val="33072028"/>
    <w:rsid w:val="333604F0"/>
    <w:rsid w:val="35EB6AAF"/>
    <w:rsid w:val="36504750"/>
    <w:rsid w:val="39D979CB"/>
    <w:rsid w:val="3CA2300E"/>
    <w:rsid w:val="3D337B49"/>
    <w:rsid w:val="3DA43295"/>
    <w:rsid w:val="3EC10DBE"/>
    <w:rsid w:val="3EECF6A9"/>
    <w:rsid w:val="3F194AA9"/>
    <w:rsid w:val="3FDFEF55"/>
    <w:rsid w:val="435C36A9"/>
    <w:rsid w:val="442C2496"/>
    <w:rsid w:val="446B68BB"/>
    <w:rsid w:val="45734511"/>
    <w:rsid w:val="460C4D14"/>
    <w:rsid w:val="46D03D93"/>
    <w:rsid w:val="4842241E"/>
    <w:rsid w:val="488C6A1C"/>
    <w:rsid w:val="48BA6586"/>
    <w:rsid w:val="4CC61FB2"/>
    <w:rsid w:val="4D7F313C"/>
    <w:rsid w:val="4DC77C70"/>
    <w:rsid w:val="4FA9B2D2"/>
    <w:rsid w:val="51AA78F3"/>
    <w:rsid w:val="5220469D"/>
    <w:rsid w:val="52B5767C"/>
    <w:rsid w:val="530F0DC2"/>
    <w:rsid w:val="54493DF7"/>
    <w:rsid w:val="58BC0EF6"/>
    <w:rsid w:val="594536CC"/>
    <w:rsid w:val="5A722667"/>
    <w:rsid w:val="5A854A24"/>
    <w:rsid w:val="5C891B7C"/>
    <w:rsid w:val="5D63417B"/>
    <w:rsid w:val="5D9F4357"/>
    <w:rsid w:val="5EDF704B"/>
    <w:rsid w:val="5F7EDAAC"/>
    <w:rsid w:val="5FD135BC"/>
    <w:rsid w:val="6164634C"/>
    <w:rsid w:val="628D551C"/>
    <w:rsid w:val="63BF67C5"/>
    <w:rsid w:val="65AE6FB6"/>
    <w:rsid w:val="65EC0A86"/>
    <w:rsid w:val="66703552"/>
    <w:rsid w:val="667669BA"/>
    <w:rsid w:val="67CA446A"/>
    <w:rsid w:val="68353276"/>
    <w:rsid w:val="68BE0D89"/>
    <w:rsid w:val="68F30D1A"/>
    <w:rsid w:val="690E2FA5"/>
    <w:rsid w:val="69602435"/>
    <w:rsid w:val="6A510B3E"/>
    <w:rsid w:val="6C2010FA"/>
    <w:rsid w:val="6CFFB293"/>
    <w:rsid w:val="6E6711A0"/>
    <w:rsid w:val="6FF6F0AA"/>
    <w:rsid w:val="701C7CDF"/>
    <w:rsid w:val="708811A7"/>
    <w:rsid w:val="73800242"/>
    <w:rsid w:val="73C02B06"/>
    <w:rsid w:val="74D3178F"/>
    <w:rsid w:val="75DD6D16"/>
    <w:rsid w:val="76A3186A"/>
    <w:rsid w:val="77F02C27"/>
    <w:rsid w:val="78FB517F"/>
    <w:rsid w:val="7A20030F"/>
    <w:rsid w:val="7A5E4D3A"/>
    <w:rsid w:val="7C244CA2"/>
    <w:rsid w:val="7C377D1E"/>
    <w:rsid w:val="7C9FF303"/>
    <w:rsid w:val="7CA17493"/>
    <w:rsid w:val="7CE45C3C"/>
    <w:rsid w:val="7CFF71DD"/>
    <w:rsid w:val="7DC35DA7"/>
    <w:rsid w:val="7E8506F7"/>
    <w:rsid w:val="7FBF124B"/>
    <w:rsid w:val="87679DEA"/>
    <w:rsid w:val="9E3FCF08"/>
    <w:rsid w:val="ADCEAB65"/>
    <w:rsid w:val="B7F5BBEF"/>
    <w:rsid w:val="BEBD9551"/>
    <w:rsid w:val="BF5B45CA"/>
    <w:rsid w:val="CFFE7030"/>
    <w:rsid w:val="DF3E468F"/>
    <w:rsid w:val="DFCEDAC3"/>
    <w:rsid w:val="E7DC7976"/>
    <w:rsid w:val="EDFE8B42"/>
    <w:rsid w:val="EFFF0D79"/>
    <w:rsid w:val="F5EE4E27"/>
    <w:rsid w:val="F7FF2727"/>
    <w:rsid w:val="FCCA14DE"/>
    <w:rsid w:val="FDFBEA38"/>
    <w:rsid w:val="FE731515"/>
    <w:rsid w:val="FF3FAE02"/>
    <w:rsid w:val="FF7B99BB"/>
    <w:rsid w:val="FF7F4C7D"/>
    <w:rsid w:val="FFBA38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jc w:val="both"/>
    </w:pPr>
    <w:rPr>
      <w:rFonts w:ascii="Times New Roman" w:hAnsi="Times New Roman" w:eastAsia="仿宋" w:cs="仿宋"/>
      <w:color w:val="000000" w:themeColor="text1"/>
      <w:kern w:val="2"/>
      <w:sz w:val="32"/>
      <w:szCs w:val="32"/>
      <w:lang w:val="en-US" w:eastAsia="zh-CN" w:bidi="ar-SA"/>
      <w14:textFill>
        <w14:solidFill>
          <w14:schemeClr w14:val="tx1"/>
        </w14:solidFill>
      </w14:textFill>
    </w:rPr>
  </w:style>
  <w:style w:type="paragraph" w:styleId="3">
    <w:name w:val="heading 1"/>
    <w:basedOn w:val="1"/>
    <w:next w:val="1"/>
    <w:qFormat/>
    <w:uiPriority w:val="0"/>
    <w:pPr>
      <w:keepNext/>
      <w:keepLines/>
      <w:spacing w:beforeLines="0" w:beforeAutospacing="0" w:afterLines="0" w:afterAutospacing="0" w:line="560" w:lineRule="exact"/>
      <w:jc w:val="center"/>
      <w:outlineLvl w:val="0"/>
    </w:pPr>
    <w:rPr>
      <w:rFonts w:ascii="方正小标宋简体" w:hAnsi="方正小标宋简体" w:eastAsia="方正小标宋简体"/>
      <w:kern w:val="44"/>
      <w:sz w:val="44"/>
    </w:rPr>
  </w:style>
  <w:style w:type="paragraph" w:styleId="4">
    <w:name w:val="heading 2"/>
    <w:basedOn w:val="1"/>
    <w:next w:val="1"/>
    <w:semiHidden/>
    <w:unhideWhenUsed/>
    <w:qFormat/>
    <w:uiPriority w:val="0"/>
    <w:pPr>
      <w:keepNext/>
      <w:keepLines/>
      <w:spacing w:beforeLines="0" w:beforeAutospacing="0" w:afterLines="0" w:afterAutospacing="0" w:line="560" w:lineRule="exact"/>
      <w:outlineLvl w:val="1"/>
    </w:pPr>
    <w:rPr>
      <w:rFonts w:ascii="黑体" w:hAnsi="黑体" w:eastAsia="黑体"/>
    </w:rPr>
  </w:style>
  <w:style w:type="paragraph" w:styleId="5">
    <w:name w:val="heading 3"/>
    <w:next w:val="1"/>
    <w:unhideWhenUsed/>
    <w:qFormat/>
    <w:uiPriority w:val="9"/>
    <w:pPr>
      <w:widowControl w:val="0"/>
      <w:suppressAutoHyphens/>
      <w:spacing w:beforeAutospacing="1" w:afterAutospacing="1"/>
      <w:jc w:val="both"/>
      <w:outlineLvl w:val="2"/>
    </w:pPr>
    <w:rPr>
      <w:rFonts w:hint="eastAsia" w:ascii="宋体" w:hAnsi="宋体" w:eastAsia="宋体" w:cs="Times New Roman"/>
      <w:kern w:val="2"/>
      <w:sz w:val="18"/>
      <w:szCs w:val="18"/>
      <w:lang w:val="en-US" w:eastAsia="zh-CN" w:bidi="ar-SA"/>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1"/>
      <w:szCs w:val="31"/>
      <w:lang w:val="en-US" w:eastAsia="en-US" w:bidi="ar-SA"/>
    </w:rPr>
  </w:style>
  <w:style w:type="paragraph" w:styleId="6">
    <w:name w:val="table of authorities"/>
    <w:basedOn w:val="1"/>
    <w:next w:val="1"/>
    <w:unhideWhenUsed/>
    <w:qFormat/>
    <w:uiPriority w:val="99"/>
    <w:pPr>
      <w:ind w:left="420" w:leftChars="200"/>
    </w:pPr>
    <w:rPr>
      <w:rFonts w:ascii="Times New Roman" w:hAnsi="Times New Roman" w:eastAsia="宋体" w:cs="Times New Roman"/>
      <w:sz w:val="21"/>
      <w:szCs w:val="24"/>
    </w:rPr>
  </w:style>
  <w:style w:type="paragraph" w:styleId="7">
    <w:name w:val="Normal Indent"/>
    <w:basedOn w:val="1"/>
    <w:unhideWhenUsed/>
    <w:qFormat/>
    <w:uiPriority w:val="99"/>
    <w:pPr>
      <w:ind w:firstLine="420"/>
    </w:pPr>
  </w:style>
  <w:style w:type="paragraph" w:styleId="8">
    <w:name w:val="index 5"/>
    <w:basedOn w:val="1"/>
    <w:next w:val="1"/>
    <w:qFormat/>
    <w:uiPriority w:val="0"/>
    <w:pPr>
      <w:ind w:left="1680"/>
    </w:pPr>
    <w:rPr>
      <w:rFonts w:ascii="Calibri" w:hAnsi="Calibri" w:eastAsia="宋体" w:cs="Times New Roman"/>
      <w:sz w:val="21"/>
      <w:szCs w:val="24"/>
    </w:rPr>
  </w:style>
  <w:style w:type="paragraph" w:styleId="9">
    <w:name w:val="footer"/>
    <w:basedOn w:val="1"/>
    <w:next w:val="8"/>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Normal (Web)"/>
    <w:qFormat/>
    <w:uiPriority w:val="0"/>
    <w:pPr>
      <w:widowControl/>
      <w:spacing w:before="100" w:beforeAutospacing="1" w:after="100" w:afterAutospacing="1" w:line="640" w:lineRule="exact"/>
      <w:ind w:firstLine="883" w:firstLineChars="200"/>
      <w:jc w:val="left"/>
    </w:pPr>
    <w:rPr>
      <w:rFonts w:ascii="宋体" w:hAnsi="宋体" w:eastAsia="仿宋_GB2312" w:cs="Times New Roman"/>
      <w:kern w:val="0"/>
      <w:sz w:val="24"/>
      <w:szCs w:val="24"/>
      <w:lang w:val="en-US" w:eastAsia="zh-CN" w:bidi="ar-SA"/>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
    <w:name w:val="font11"/>
    <w:basedOn w:val="14"/>
    <w:qFormat/>
    <w:uiPriority w:val="0"/>
    <w:rPr>
      <w:rFonts w:hint="eastAsia" w:ascii="宋体" w:hAnsi="宋体" w:eastAsia="宋体" w:cs="宋体"/>
      <w:color w:val="000000"/>
      <w:sz w:val="22"/>
      <w:szCs w:val="22"/>
      <w:u w:val="none"/>
    </w:rPr>
  </w:style>
  <w:style w:type="table" w:customStyle="1" w:styleId="16">
    <w:name w:val="Table Normal"/>
    <w:semiHidden/>
    <w:unhideWhenUsed/>
    <w:qFormat/>
    <w:uiPriority w:val="0"/>
    <w:tblPr>
      <w:tblCellMar>
        <w:top w:w="0" w:type="dxa"/>
        <w:left w:w="0" w:type="dxa"/>
        <w:bottom w:w="0" w:type="dxa"/>
        <w:right w:w="0" w:type="dxa"/>
      </w:tblCellMar>
    </w:tblPr>
  </w:style>
  <w:style w:type="paragraph" w:customStyle="1" w:styleId="17">
    <w:name w:val="Table Text"/>
    <w:basedOn w:val="1"/>
    <w:semiHidden/>
    <w:qFormat/>
    <w:uiPriority w:val="0"/>
    <w:rPr>
      <w:rFonts w:ascii="Arial" w:hAnsi="Arial" w:eastAsia="Arial" w:cs="Arial"/>
      <w:sz w:val="21"/>
      <w:szCs w:val="21"/>
      <w:lang w:val="en-US" w:eastAsia="en-US" w:bidi="ar-SA"/>
    </w:rPr>
  </w:style>
  <w:style w:type="paragraph" w:customStyle="1" w:styleId="18">
    <w:name w:val="引文目录1"/>
    <w:basedOn w:val="1"/>
    <w:qFormat/>
    <w:uiPriority w:val="0"/>
    <w:pPr>
      <w:ind w:left="420" w:leftChars="200"/>
    </w:pPr>
    <w:rPr>
      <w:rFonts w:ascii="Times New Roman" w:hAnsi="Times New Roman" w:eastAsia="宋体"/>
      <w:sz w:val="21"/>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false"/>
        </a:gradFill>
        <a:gradFill>
          <a:gsLst>
            <a:gs pos="0">
              <a:schemeClr val="phClr">
                <a:hueOff val="-2520000"/>
              </a:schemeClr>
            </a:gs>
            <a:gs pos="100000">
              <a:schemeClr val="phClr"/>
            </a:gs>
          </a:gsLst>
          <a:lin ang="2700000" scaled="false"/>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true"/>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6731</Words>
  <Characters>6880</Characters>
  <Lines>0</Lines>
  <Paragraphs>0</Paragraphs>
  <TotalTime>14</TotalTime>
  <ScaleCrop>false</ScaleCrop>
  <LinksUpToDate>false</LinksUpToDate>
  <CharactersWithSpaces>6882</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2021-08-09T18:13:00Z</dcterms:created>
  <dc:creator>ylqxc</dc:creator>
  <cp:lastModifiedBy>sjj</cp:lastModifiedBy>
  <cp:lastPrinted>2025-07-07T23:02:00Z</cp:lastPrinted>
  <dcterms:modified xsi:type="dcterms:W3CDTF">2025-07-10T17:06:57Z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94C1BE3F386A45CFBE7880F9478DA971</vt:lpwstr>
  </property>
  <property fmtid="{D5CDD505-2E9C-101B-9397-08002B2CF9AE}" pid="4" name="KSOTemplateDocerSaveRecord">
    <vt:lpwstr>eyJoZGlkIjoiZDdlMjk5MDY3MmE1MzQxNTZiMjdiMjA4MDlhZjRlY2UiLCJ1c2VySWQiOiIxNTYwOTE3MTY4In0=</vt:lpwstr>
  </property>
</Properties>
</file>