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before="100" w:beforeAutospacing="1" w:after="100" w:afterAutospacing="1"/>
      </w:pPr>
      <w:r>
        <w:rPr>
          <w:rFonts w:ascii="Times New Roman" w:hAnsi="Times New Roman" w:cs="Times New Roman"/>
          <w:b/>
          <w:bCs/>
          <w:sz w:val="36"/>
          <w:szCs w:val="36"/>
        </w:rPr>
        <w:t> </w:t>
      </w:r>
    </w:p>
    <w:p>
      <w:pPr>
        <w:adjustRightInd w:val="0"/>
        <w:spacing w:before="100" w:beforeAutospacing="1" w:after="100" w:afterAutospacing="1" w:line="580" w:lineRule="exact"/>
        <w:ind w:firstLine="600"/>
        <w:jc w:val="center"/>
      </w:pPr>
      <w:r>
        <w:rPr>
          <w:rFonts w:ascii="Times New Roman" w:hAnsi="Times New Roman" w:cs="Times New Roman"/>
          <w:b/>
          <w:bCs/>
          <w:sz w:val="36"/>
          <w:szCs w:val="36"/>
        </w:rPr>
        <w:t>  </w:t>
      </w:r>
    </w:p>
    <w:p>
      <w:pPr>
        <w:adjustRightInd w:val="0"/>
        <w:spacing w:before="100" w:beforeAutospacing="1" w:after="100" w:afterAutospacing="1" w:line="580" w:lineRule="exact"/>
        <w:ind w:firstLine="600"/>
        <w:jc w:val="center"/>
      </w:pPr>
      <w:r>
        <w:rPr>
          <w:rFonts w:ascii="Times New Roman" w:hAnsi="Times New Roman" w:cs="Times New Roman"/>
          <w:b/>
          <w:bCs/>
          <w:sz w:val="36"/>
          <w:szCs w:val="36"/>
        </w:rPr>
        <w:t> </w:t>
      </w:r>
    </w:p>
    <w:p>
      <w:pPr>
        <w:adjustRightInd w:val="0"/>
        <w:spacing w:before="100" w:beforeAutospacing="1" w:after="100" w:afterAutospacing="1" w:line="580" w:lineRule="exact"/>
        <w:ind w:firstLine="600"/>
        <w:jc w:val="center"/>
      </w:pPr>
      <w:r>
        <w:rPr>
          <w:rFonts w:ascii="Times New Roman" w:hAnsi="Times New Roman" w:cs="Times New Roman"/>
          <w:b/>
          <w:bCs/>
          <w:sz w:val="36"/>
          <w:szCs w:val="36"/>
        </w:rPr>
        <w:t> </w:t>
      </w:r>
    </w:p>
    <w:p>
      <w:pPr>
        <w:adjustRightInd w:val="0"/>
        <w:spacing w:before="100" w:beforeAutospacing="1" w:after="100" w:afterAutospacing="1" w:line="580" w:lineRule="exact"/>
        <w:ind w:firstLine="600"/>
        <w:jc w:val="center"/>
      </w:pPr>
      <w:r>
        <w:rPr>
          <w:rFonts w:ascii="Times New Roman" w:hAnsi="Times New Roman" w:cs="Times New Roman"/>
          <w:b/>
          <w:bCs/>
          <w:sz w:val="36"/>
          <w:szCs w:val="36"/>
        </w:rPr>
        <w:t> </w:t>
      </w:r>
      <w:bookmarkStart w:id="1" w:name="_GoBack"/>
      <w:bookmarkEnd w:id="1"/>
    </w:p>
    <w:p>
      <w:pPr>
        <w:adjustRightInd w:val="0"/>
        <w:spacing w:before="100" w:beforeAutospacing="1" w:after="100" w:afterAutospacing="1"/>
        <w:ind w:firstLine="601"/>
        <w:jc w:val="center"/>
        <w:rPr>
          <w:rFonts w:hint="eastAsia" w:ascii="方正小标宋简体" w:hAnsi="Times New Roman" w:eastAsia="方正小标宋简体" w:cs="仿宋_GB2312"/>
          <w:b/>
          <w:bCs/>
          <w:sz w:val="44"/>
          <w:szCs w:val="44"/>
        </w:rPr>
      </w:pPr>
      <w:r>
        <w:rPr>
          <w:rFonts w:hint="eastAsia" w:ascii="方正小标宋简体" w:hAnsi="Times New Roman" w:eastAsia="方正小标宋简体" w:cs="仿宋_GB2312"/>
          <w:b/>
          <w:bCs/>
          <w:sz w:val="44"/>
          <w:szCs w:val="44"/>
          <w:lang w:eastAsia="zh-CN"/>
        </w:rPr>
        <w:t>内</w:t>
      </w:r>
      <w:r>
        <w:rPr>
          <w:rFonts w:hint="eastAsia" w:ascii="方正小标宋简体" w:hAnsi="Times New Roman" w:eastAsia="方正小标宋简体" w:cs="仿宋_GB2312"/>
          <w:b/>
          <w:bCs/>
          <w:sz w:val="44"/>
          <w:szCs w:val="44"/>
        </w:rPr>
        <w:t>蒙古自治区呼伦贝尔市</w:t>
      </w:r>
    </w:p>
    <w:p>
      <w:pPr>
        <w:adjustRightInd w:val="0"/>
        <w:spacing w:before="100" w:beforeAutospacing="1" w:after="100" w:afterAutospacing="1"/>
        <w:ind w:firstLine="601"/>
        <w:jc w:val="center"/>
        <w:rPr>
          <w:rFonts w:ascii="方正小标宋简体" w:eastAsia="方正小标宋简体"/>
          <w:sz w:val="24"/>
          <w:szCs w:val="24"/>
        </w:rPr>
      </w:pPr>
      <w:r>
        <w:rPr>
          <w:rFonts w:hint="eastAsia" w:ascii="方正小标宋简体" w:hAnsi="Times New Roman" w:eastAsia="方正小标宋简体" w:cs="仿宋_GB2312"/>
          <w:b/>
          <w:bCs/>
          <w:sz w:val="44"/>
          <w:szCs w:val="44"/>
        </w:rPr>
        <w:t>扶贫开发办公室</w:t>
      </w:r>
    </w:p>
    <w:p>
      <w:pPr>
        <w:adjustRightInd w:val="0"/>
        <w:spacing w:before="100" w:beforeAutospacing="1" w:after="100" w:afterAutospacing="1"/>
        <w:ind w:firstLine="601"/>
        <w:jc w:val="center"/>
        <w:rPr>
          <w:rFonts w:ascii="方正小标宋简体" w:eastAsia="方正小标宋简体"/>
        </w:rPr>
      </w:pPr>
      <w:r>
        <w:rPr>
          <w:rFonts w:hint="eastAsia" w:ascii="方正小标宋简体" w:hAnsi="Times New Roman" w:eastAsia="方正小标宋简体" w:cs="仿宋_GB2312"/>
          <w:b/>
          <w:bCs/>
          <w:sz w:val="44"/>
          <w:szCs w:val="44"/>
        </w:rPr>
        <w:t>2018年度决算公开报告</w:t>
      </w:r>
    </w:p>
    <w:p>
      <w:pPr>
        <w:adjustRightInd w:val="0"/>
        <w:spacing w:before="100" w:beforeAutospacing="1" w:after="100" w:afterAutospacing="1" w:line="580" w:lineRule="exact"/>
        <w:ind w:firstLine="600"/>
        <w:jc w:val="center"/>
      </w:pPr>
      <w:r>
        <w:rPr>
          <w:rFonts w:ascii="Times New Roman" w:hAnsi="Times New Roman" w:eastAsia="仿宋_GB2312" w:cs="Times New Roman"/>
          <w:b/>
          <w:bCs/>
          <w:sz w:val="36"/>
          <w:szCs w:val="36"/>
        </w:rPr>
        <w:t> </w:t>
      </w:r>
    </w:p>
    <w:p>
      <w:pPr>
        <w:adjustRightInd w:val="0"/>
        <w:spacing w:before="100" w:beforeAutospacing="1" w:after="100" w:afterAutospacing="1" w:line="580" w:lineRule="exact"/>
        <w:ind w:firstLine="600"/>
        <w:jc w:val="center"/>
      </w:pPr>
      <w:r>
        <w:rPr>
          <w:rFonts w:ascii="Times New Roman" w:hAnsi="Times New Roman" w:eastAsia="仿宋_GB2312" w:cs="Times New Roman"/>
          <w:b/>
          <w:bCs/>
          <w:sz w:val="36"/>
          <w:szCs w:val="36"/>
        </w:rPr>
        <w:t> </w:t>
      </w:r>
    </w:p>
    <w:p>
      <w:pPr>
        <w:adjustRightInd w:val="0"/>
        <w:spacing w:before="100" w:beforeAutospacing="1" w:after="100" w:afterAutospacing="1" w:line="580" w:lineRule="exact"/>
        <w:ind w:firstLine="600"/>
        <w:jc w:val="center"/>
      </w:pPr>
      <w:r>
        <w:rPr>
          <w:rFonts w:ascii="Times New Roman" w:hAnsi="Times New Roman" w:eastAsia="仿宋_GB2312" w:cs="Times New Roman"/>
          <w:b/>
          <w:bCs/>
          <w:sz w:val="36"/>
          <w:szCs w:val="36"/>
        </w:rPr>
        <w:t> </w:t>
      </w:r>
    </w:p>
    <w:p>
      <w:pPr>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djustRightInd w:val="0"/>
        <w:spacing w:before="100" w:beforeAutospacing="1" w:after="100" w:afterAutospacing="1" w:line="580" w:lineRule="exact"/>
        <w:ind w:firstLine="600"/>
        <w:jc w:val="center"/>
      </w:pPr>
      <w:r>
        <w:rPr>
          <w:rFonts w:ascii="Times New Roman" w:hAnsi="Times New Roman" w:eastAsia="仿宋_GB2312" w:cs="Times New Roman"/>
          <w:b/>
          <w:bCs/>
          <w:sz w:val="36"/>
          <w:szCs w:val="36"/>
        </w:rPr>
        <w:t> </w:t>
      </w:r>
      <w:r>
        <w:rPr>
          <w:rFonts w:hint="eastAsia" w:ascii="仿宋_GB2312" w:hAnsi="Times New Roman" w:eastAsia="仿宋_GB2312" w:cs="仿宋_GB2312"/>
          <w:b/>
          <w:bCs/>
          <w:sz w:val="44"/>
          <w:szCs w:val="44"/>
        </w:rPr>
        <w:t>目录</w:t>
      </w:r>
    </w:p>
    <w:p>
      <w:pPr>
        <w:adjustRightInd w:val="0"/>
        <w:spacing w:before="100" w:beforeAutospacing="1" w:after="100" w:afterAutospacing="1"/>
        <w:ind w:firstLine="601"/>
      </w:pPr>
      <w:r>
        <w:rPr>
          <w:rFonts w:hint="eastAsia" w:ascii="仿宋_GB2312" w:hAnsi="Times New Roman" w:eastAsia="仿宋_GB2312" w:cs="仿宋_GB2312"/>
          <w:b/>
          <w:bCs/>
          <w:sz w:val="44"/>
          <w:szCs w:val="44"/>
        </w:rPr>
        <w:t> </w:t>
      </w:r>
    </w:p>
    <w:p>
      <w:pPr>
        <w:adjustRightInd w:val="0"/>
        <w:snapToGrid w:val="0"/>
        <w:spacing w:before="100" w:beforeAutospacing="1" w:after="100" w:afterAutospacing="1"/>
        <w:ind w:firstLine="601"/>
      </w:pPr>
      <w:r>
        <w:rPr>
          <w:rFonts w:hint="eastAsia" w:ascii="黑体" w:hAnsi="Times New Roman" w:eastAsia="黑体" w:cs="黑体"/>
          <w:b/>
          <w:bCs/>
          <w:sz w:val="32"/>
          <w:szCs w:val="32"/>
        </w:rPr>
        <w:t>第一部分 部门基本情况</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一、部门职能</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二、机构设置及单位构成情况</w:t>
      </w:r>
    </w:p>
    <w:p>
      <w:pPr>
        <w:adjustRightInd w:val="0"/>
        <w:snapToGrid w:val="0"/>
        <w:spacing w:before="100" w:beforeAutospacing="1" w:after="100" w:afterAutospacing="1"/>
        <w:ind w:firstLine="601"/>
      </w:pPr>
      <w:r>
        <w:rPr>
          <w:rFonts w:hint="eastAsia" w:ascii="黑体" w:hAnsi="Times New Roman" w:eastAsia="黑体" w:cs="黑体"/>
          <w:b/>
          <w:bCs/>
          <w:sz w:val="32"/>
          <w:szCs w:val="32"/>
        </w:rPr>
        <w:t>第二部分 2018年度部门决算情况说明</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一、关于2018年度预算执行情况分析</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二、关于2018年度决算情况说明</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（一）关于收支情况总体说明</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（二）关于2018年度收入决算情况说明</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（三）关于2018年度支出决算情况说明</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（四）关于2018年度财政拨款收入支出决算总体情况说明</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（五）关于2018年度一般公共预算财政拨款支出决算情况说明</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（六）关于2018年度一般公共预算财政拨款基本支出决算情况说明</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（七）关于2018年度财政拨款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经费支出决算情况说明</w:t>
      </w:r>
    </w:p>
    <w:p>
      <w:pPr>
        <w:adjustRightInd w:val="0"/>
        <w:snapToGrid w:val="0"/>
        <w:spacing w:before="100" w:beforeAutospacing="1" w:after="100" w:afterAutospacing="1"/>
        <w:ind w:firstLine="601"/>
      </w:pPr>
      <w:r>
        <w:rPr>
          <w:rFonts w:ascii="Times New Roman" w:hAnsi="Times New Roman" w:eastAsia="仿宋_GB2312" w:cs="Times New Roman"/>
          <w:sz w:val="32"/>
          <w:szCs w:val="32"/>
        </w:rPr>
        <w:tab/>
      </w:r>
      <w:r>
        <w:rPr>
          <w:rFonts w:hint="eastAsia" w:ascii="仿宋_GB2312" w:hAnsi="Times New Roman" w:eastAsia="仿宋_GB2312" w:cs="仿宋_GB2312"/>
          <w:sz w:val="32"/>
          <w:szCs w:val="32"/>
        </w:rPr>
        <w:t>1、</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经费财政拨款支出决算总体情况说明</w:t>
      </w:r>
    </w:p>
    <w:p>
      <w:pPr>
        <w:adjustRightInd w:val="0"/>
        <w:snapToGrid w:val="0"/>
        <w:spacing w:before="100" w:beforeAutospacing="1" w:after="100" w:afterAutospacing="1"/>
        <w:ind w:firstLine="601"/>
      </w:pPr>
      <w:r>
        <w:rPr>
          <w:rFonts w:ascii="Times New Roman" w:hAnsi="Times New Roman" w:eastAsia="仿宋_GB2312" w:cs="Times New Roman"/>
          <w:sz w:val="32"/>
          <w:szCs w:val="32"/>
        </w:rPr>
        <w:tab/>
      </w:r>
      <w:r>
        <w:rPr>
          <w:rFonts w:hint="eastAsia" w:ascii="仿宋_GB2312" w:hAnsi="Times New Roman" w:eastAsia="仿宋_GB2312" w:cs="仿宋_GB2312"/>
          <w:sz w:val="32"/>
          <w:szCs w:val="32"/>
        </w:rPr>
        <w:t>2、</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经费财政拨款支出决算具体情况说明</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三、其他重要事项的情况说明</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（一）机关运行经费支出情况</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（二）政府采购支出情况</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（三）国有资产占用情况</w:t>
      </w:r>
    </w:p>
    <w:p>
      <w:pPr>
        <w:adjustRightInd w:val="0"/>
        <w:snapToGrid w:val="0"/>
        <w:spacing w:before="100" w:beforeAutospacing="1" w:after="100" w:afterAutospacing="1"/>
        <w:ind w:firstLine="601"/>
      </w:pPr>
      <w:r>
        <w:rPr>
          <w:rFonts w:hint="eastAsia" w:ascii="仿宋_GB2312" w:hAnsi="Times New Roman" w:eastAsia="仿宋_GB2312" w:cs="仿宋_GB2312"/>
          <w:sz w:val="32"/>
          <w:szCs w:val="32"/>
        </w:rPr>
        <w:t>（四）预算绩效管理工作开展情况</w:t>
      </w:r>
    </w:p>
    <w:p>
      <w:pPr>
        <w:adjustRightInd w:val="0"/>
        <w:snapToGrid w:val="0"/>
        <w:spacing w:before="100" w:beforeAutospacing="1" w:after="100" w:afterAutospacing="1"/>
        <w:ind w:firstLine="601"/>
      </w:pPr>
      <w:r>
        <w:rPr>
          <w:rFonts w:hint="eastAsia" w:ascii="黑体" w:hAnsi="Times New Roman" w:eastAsia="黑体" w:cs="黑体"/>
          <w:b/>
          <w:bCs/>
          <w:sz w:val="32"/>
          <w:szCs w:val="32"/>
        </w:rPr>
        <w:t>第三部分 名词解释</w:t>
      </w:r>
    </w:p>
    <w:p>
      <w:pPr>
        <w:adjustRightInd w:val="0"/>
        <w:snapToGrid w:val="0"/>
        <w:spacing w:before="100" w:beforeAutospacing="1" w:after="100" w:afterAutospacing="1"/>
        <w:ind w:firstLine="601"/>
      </w:pPr>
      <w:r>
        <w:rPr>
          <w:rFonts w:hint="eastAsia" w:ascii="黑体" w:hAnsi="Times New Roman" w:eastAsia="黑体" w:cs="黑体"/>
          <w:b/>
          <w:bCs/>
          <w:sz w:val="32"/>
          <w:szCs w:val="32"/>
        </w:rPr>
        <w:t>第四部分 决算公开联系方式及信息反馈渠道</w:t>
      </w:r>
    </w:p>
    <w:p>
      <w:pPr>
        <w:adjustRightInd w:val="0"/>
        <w:snapToGrid w:val="0"/>
        <w:spacing w:before="100" w:beforeAutospacing="1" w:after="100" w:afterAutospacing="1"/>
        <w:ind w:firstLine="601"/>
      </w:pPr>
      <w:r>
        <w:rPr>
          <w:rFonts w:hint="eastAsia" w:ascii="黑体" w:hAnsi="Times New Roman" w:eastAsia="黑体" w:cs="黑体"/>
          <w:b/>
          <w:bCs/>
          <w:sz w:val="32"/>
          <w:szCs w:val="32"/>
        </w:rPr>
        <w:t>第五部分 部门决算公开表</w:t>
      </w:r>
    </w:p>
    <w:p>
      <w:pPr>
        <w:adjustRightInd w:val="0"/>
        <w:snapToGrid w:val="0"/>
        <w:spacing w:before="100" w:beforeAutospacing="1" w:after="100" w:afterAutospacing="1"/>
        <w:ind w:firstLine="601"/>
      </w:pPr>
      <w:r>
        <w:rPr>
          <w:rFonts w:ascii="Times New Roman" w:hAnsi="Times New Roman" w:eastAsia="黑体" w:cs="Times New Roman"/>
          <w:b/>
          <w:bCs/>
          <w:sz w:val="44"/>
          <w:szCs w:val="44"/>
          <w:highlight w:val="white"/>
        </w:rPr>
        <w:t xml:space="preserve">   </w:t>
      </w:r>
      <w:r>
        <w:rPr>
          <w:rFonts w:hint="eastAsia" w:ascii="仿宋_GB2312" w:hAnsi="Times New Roman" w:eastAsia="仿宋_GB2312" w:cs="仿宋_GB2312"/>
          <w:sz w:val="32"/>
          <w:szCs w:val="32"/>
          <w:highlight w:val="white"/>
        </w:rPr>
        <w:t>一、收入支出决算总表</w:t>
      </w:r>
    </w:p>
    <w:p>
      <w:pPr>
        <w:adjustRightInd w:val="0"/>
        <w:snapToGrid w:val="0"/>
        <w:spacing w:before="100" w:beforeAutospacing="1" w:after="100" w:afterAutospacing="1"/>
        <w:ind w:firstLine="601"/>
      </w:pPr>
      <w:r>
        <w:rPr>
          <w:rFonts w:ascii="Times New Roman" w:hAnsi="Times New Roman" w:eastAsia="仿宋_GB2312" w:cs="Times New Roman"/>
          <w:sz w:val="32"/>
          <w:szCs w:val="32"/>
          <w:highlight w:val="white"/>
        </w:rPr>
        <w:t xml:space="preserve">    </w:t>
      </w:r>
      <w:r>
        <w:rPr>
          <w:rFonts w:hint="eastAsia" w:ascii="仿宋_GB2312" w:hAnsi="Times New Roman" w:eastAsia="仿宋_GB2312" w:cs="仿宋_GB2312"/>
          <w:sz w:val="32"/>
          <w:szCs w:val="32"/>
          <w:highlight w:val="white"/>
        </w:rPr>
        <w:t>二、收入决算表</w:t>
      </w:r>
    </w:p>
    <w:p>
      <w:pPr>
        <w:adjustRightInd w:val="0"/>
        <w:snapToGrid w:val="0"/>
        <w:spacing w:before="100" w:beforeAutospacing="1" w:after="100" w:afterAutospacing="1"/>
        <w:ind w:firstLine="601"/>
      </w:pPr>
      <w:r>
        <w:rPr>
          <w:rFonts w:ascii="Times New Roman" w:hAnsi="Times New Roman" w:eastAsia="仿宋_GB2312" w:cs="Times New Roman"/>
          <w:sz w:val="32"/>
          <w:szCs w:val="32"/>
          <w:highlight w:val="white"/>
        </w:rPr>
        <w:t xml:space="preserve">    </w:t>
      </w:r>
      <w:r>
        <w:rPr>
          <w:rFonts w:hint="eastAsia" w:ascii="仿宋_GB2312" w:hAnsi="Times New Roman" w:eastAsia="仿宋_GB2312" w:cs="仿宋_GB2312"/>
          <w:sz w:val="32"/>
          <w:szCs w:val="32"/>
          <w:highlight w:val="white"/>
        </w:rPr>
        <w:t>三、支出决算表</w:t>
      </w:r>
    </w:p>
    <w:p>
      <w:pPr>
        <w:adjustRightInd w:val="0"/>
        <w:snapToGrid w:val="0"/>
        <w:spacing w:before="100" w:beforeAutospacing="1" w:after="100" w:afterAutospacing="1"/>
        <w:ind w:firstLine="601"/>
      </w:pPr>
      <w:r>
        <w:rPr>
          <w:rFonts w:ascii="Times New Roman" w:hAnsi="Times New Roman" w:eastAsia="仿宋_GB2312" w:cs="Times New Roman"/>
          <w:sz w:val="32"/>
          <w:szCs w:val="32"/>
          <w:highlight w:val="white"/>
        </w:rPr>
        <w:t xml:space="preserve">    </w:t>
      </w:r>
      <w:r>
        <w:rPr>
          <w:rFonts w:hint="eastAsia" w:ascii="仿宋_GB2312" w:hAnsi="Times New Roman" w:eastAsia="仿宋_GB2312" w:cs="仿宋_GB2312"/>
          <w:sz w:val="32"/>
          <w:szCs w:val="32"/>
          <w:highlight w:val="white"/>
        </w:rPr>
        <w:t>四、财政拨款收入支出决算总表</w:t>
      </w:r>
    </w:p>
    <w:p>
      <w:pPr>
        <w:adjustRightInd w:val="0"/>
        <w:snapToGrid w:val="0"/>
        <w:spacing w:before="100" w:beforeAutospacing="1" w:after="100" w:afterAutospacing="1"/>
        <w:ind w:firstLine="601"/>
      </w:pPr>
      <w:r>
        <w:rPr>
          <w:rFonts w:ascii="Times New Roman" w:hAnsi="Times New Roman" w:eastAsia="仿宋_GB2312" w:cs="Times New Roman"/>
          <w:sz w:val="32"/>
          <w:szCs w:val="32"/>
          <w:highlight w:val="white"/>
        </w:rPr>
        <w:t xml:space="preserve">    </w:t>
      </w:r>
      <w:r>
        <w:rPr>
          <w:rFonts w:hint="eastAsia" w:ascii="仿宋_GB2312" w:hAnsi="Times New Roman" w:eastAsia="仿宋_GB2312" w:cs="仿宋_GB2312"/>
          <w:sz w:val="32"/>
          <w:szCs w:val="32"/>
          <w:highlight w:val="white"/>
        </w:rPr>
        <w:t>五、一般公共预算财政拨款支出决算表</w:t>
      </w:r>
    </w:p>
    <w:p>
      <w:pPr>
        <w:adjustRightInd w:val="0"/>
        <w:snapToGrid w:val="0"/>
        <w:spacing w:before="100" w:beforeAutospacing="1" w:after="100" w:afterAutospacing="1"/>
        <w:ind w:firstLine="601"/>
      </w:pPr>
      <w:r>
        <w:rPr>
          <w:rFonts w:ascii="Times New Roman" w:hAnsi="Times New Roman" w:eastAsia="仿宋_GB2312" w:cs="Times New Roman"/>
          <w:sz w:val="32"/>
          <w:szCs w:val="32"/>
          <w:highlight w:val="white"/>
        </w:rPr>
        <w:t xml:space="preserve">    </w:t>
      </w:r>
      <w:r>
        <w:rPr>
          <w:rFonts w:hint="eastAsia" w:ascii="仿宋_GB2312" w:hAnsi="Times New Roman" w:eastAsia="仿宋_GB2312" w:cs="仿宋_GB2312"/>
          <w:sz w:val="32"/>
          <w:szCs w:val="32"/>
          <w:highlight w:val="white"/>
        </w:rPr>
        <w:t>六、一般公共预算财政拨款基本支出决算明细表</w:t>
      </w:r>
    </w:p>
    <w:p>
      <w:pPr>
        <w:adjustRightInd w:val="0"/>
        <w:snapToGrid w:val="0"/>
        <w:spacing w:before="100" w:beforeAutospacing="1" w:after="100" w:afterAutospacing="1"/>
        <w:ind w:firstLine="601"/>
      </w:pPr>
      <w:r>
        <w:rPr>
          <w:rFonts w:ascii="Times New Roman" w:hAnsi="Times New Roman" w:eastAsia="仿宋_GB2312" w:cs="Times New Roman"/>
          <w:sz w:val="32"/>
          <w:szCs w:val="32"/>
          <w:highlight w:val="white"/>
        </w:rPr>
        <w:t xml:space="preserve">    </w:t>
      </w:r>
      <w:r>
        <w:rPr>
          <w:rFonts w:hint="eastAsia" w:ascii="仿宋_GB2312" w:hAnsi="Times New Roman" w:eastAsia="仿宋_GB2312" w:cs="仿宋_GB2312"/>
          <w:sz w:val="32"/>
          <w:szCs w:val="32"/>
          <w:highlight w:val="white"/>
        </w:rPr>
        <w:t>七、政府性基金财政拨款支出决算表</w:t>
      </w:r>
    </w:p>
    <w:p>
      <w:pPr>
        <w:adjustRightInd w:val="0"/>
        <w:snapToGrid w:val="0"/>
        <w:spacing w:before="100" w:beforeAutospacing="1" w:after="100" w:afterAutospacing="1"/>
        <w:ind w:firstLine="601"/>
      </w:pPr>
      <w:r>
        <w:rPr>
          <w:rFonts w:ascii="Times New Roman" w:hAnsi="Times New Roman" w:eastAsia="仿宋_GB2312" w:cs="Times New Roman"/>
          <w:sz w:val="32"/>
          <w:szCs w:val="32"/>
          <w:highlight w:val="white"/>
        </w:rPr>
        <w:t xml:space="preserve">    </w:t>
      </w:r>
      <w:r>
        <w:rPr>
          <w:rFonts w:hint="eastAsia" w:ascii="仿宋_GB2312" w:hAnsi="Times New Roman" w:eastAsia="仿宋_GB2312" w:cs="仿宋_GB2312"/>
          <w:sz w:val="32"/>
          <w:szCs w:val="32"/>
          <w:highlight w:val="white"/>
        </w:rPr>
        <w:t>八、部门决算相关信息统计表</w:t>
      </w:r>
    </w:p>
    <w:p>
      <w:pPr>
        <w:adjustRightInd w:val="0"/>
        <w:spacing w:before="100" w:beforeAutospacing="1" w:after="100" w:afterAutospacing="1"/>
        <w:ind w:firstLine="601"/>
        <w:rPr>
          <w:rFonts w:ascii="Times New Roman" w:hAnsi="Times New Roman" w:eastAsia="仿宋_GB2312" w:cs="Times New Roman"/>
          <w:b/>
          <w:bCs/>
          <w:sz w:val="44"/>
          <w:szCs w:val="44"/>
        </w:rPr>
      </w:pPr>
      <w:r>
        <w:rPr>
          <w:rFonts w:ascii="Times New Roman" w:hAnsi="Times New Roman" w:eastAsia="仿宋_GB2312" w:cs="Times New Roman"/>
          <w:b/>
          <w:bCs/>
          <w:sz w:val="44"/>
          <w:szCs w:val="44"/>
        </w:rPr>
        <w:t> </w:t>
      </w:r>
    </w:p>
    <w:p>
      <w:pPr>
        <w:adjustRightInd w:val="0"/>
        <w:spacing w:before="100" w:beforeAutospacing="1" w:after="100" w:afterAutospacing="1"/>
        <w:ind w:firstLine="601"/>
        <w:rPr>
          <w:rFonts w:ascii="Times New Roman" w:hAnsi="Times New Roman" w:eastAsia="仿宋_GB2312" w:cs="Times New Roman"/>
          <w:b/>
          <w:bCs/>
          <w:sz w:val="44"/>
          <w:szCs w:val="44"/>
        </w:rPr>
      </w:pPr>
    </w:p>
    <w:p>
      <w:pPr>
        <w:adjustRightInd w:val="0"/>
        <w:spacing w:before="100" w:beforeAutospacing="1" w:after="100" w:afterAutospacing="1"/>
        <w:ind w:firstLine="601"/>
      </w:pPr>
    </w:p>
    <w:p>
      <w:pPr>
        <w:adjustRightInd w:val="0"/>
        <w:spacing w:before="100" w:beforeAutospacing="1" w:after="100" w:afterAutospacing="1"/>
        <w:ind w:firstLine="601"/>
      </w:pPr>
    </w:p>
    <w:p>
      <w:pPr>
        <w:adjustRightInd w:val="0"/>
        <w:spacing w:before="100" w:beforeAutospacing="1" w:after="100" w:afterAutospacing="1" w:line="580" w:lineRule="exact"/>
        <w:ind w:firstLine="600"/>
        <w:jc w:val="center"/>
        <w:rPr>
          <w:rFonts w:ascii="黑体" w:hAnsi="黑体" w:eastAsia="黑体"/>
        </w:rPr>
      </w:pPr>
      <w:r>
        <w:rPr>
          <w:rFonts w:hint="eastAsia" w:ascii="黑体" w:hAnsi="黑体" w:eastAsia="黑体" w:cs="仿宋_GB2312"/>
          <w:b/>
          <w:bCs/>
          <w:sz w:val="32"/>
          <w:szCs w:val="32"/>
        </w:rPr>
        <w:t>第一部分 部门基本情况</w:t>
      </w:r>
    </w:p>
    <w:p>
      <w:pPr>
        <w:adjustRightInd w:val="0"/>
        <w:spacing w:before="100" w:beforeAutospacing="1" w:after="100" w:afterAutospacing="1" w:line="580" w:lineRule="exact"/>
        <w:ind w:firstLine="600"/>
        <w:rPr>
          <w:rFonts w:ascii="黑体" w:hAnsi="黑体" w:eastAsia="黑体"/>
          <w:b/>
        </w:rPr>
      </w:pPr>
      <w:r>
        <w:rPr>
          <w:rFonts w:hint="eastAsia" w:ascii="黑体" w:hAnsi="黑体" w:eastAsia="黑体" w:cs="仿宋_GB2312"/>
          <w:b/>
          <w:sz w:val="32"/>
          <w:szCs w:val="32"/>
        </w:rPr>
        <w:t>一、部门职能</w:t>
      </w:r>
    </w:p>
    <w:p>
      <w:pPr>
        <w:snapToGrid w:val="0"/>
        <w:rPr>
          <w:rFonts w:ascii="仿宋" w:hAnsi="仿宋" w:eastAsia="仿宋"/>
          <w:sz w:val="20"/>
          <w:szCs w:val="20"/>
        </w:rPr>
      </w:pPr>
    </w:p>
    <w:p>
      <w:pPr>
        <w:snapToGrid w:val="0"/>
        <w:ind w:right="-55" w:rightChars="-23" w:firstLine="707" w:firstLineChars="221"/>
        <w:rPr>
          <w:rFonts w:ascii="仿宋_GB2312" w:hAnsi="Times New Roman" w:eastAsia="仿宋_GB2312" w:cs="仿宋_GB2312"/>
          <w:sz w:val="32"/>
          <w:szCs w:val="32"/>
        </w:rPr>
      </w:pPr>
      <w:r>
        <w:rPr>
          <w:rFonts w:hint="eastAsia" w:ascii="仿宋_GB2312" w:hAnsi="Times New Roman" w:eastAsia="仿宋_GB2312" w:cs="仿宋_GB2312"/>
          <w:sz w:val="32"/>
          <w:szCs w:val="32"/>
        </w:rPr>
        <w:t>(</w:t>
      </w:r>
      <w:r>
        <w:rPr>
          <w:rFonts w:hint="eastAsia" w:eastAsia="仿宋_GB2312" w:cs="仿宋_GB2312" w:asciiTheme="minorHAnsi" w:hAnsiTheme="minorHAnsi"/>
          <w:sz w:val="32"/>
          <w:szCs w:val="32"/>
        </w:rPr>
        <w:t>一）</w:t>
      </w:r>
      <w:r>
        <w:rPr>
          <w:rFonts w:ascii="仿宋_GB2312" w:hAnsi="Times New Roman" w:eastAsia="仿宋_GB2312" w:cs="仿宋_GB2312"/>
          <w:sz w:val="32"/>
          <w:szCs w:val="32"/>
        </w:rPr>
        <w:t>贯彻执行国家和自治区有关扶贫开发和革命老区建设的方针、政策，研究拟订全市扶贫开发和革命老区建设工作的规划、计划并组织实施。</w:t>
      </w:r>
    </w:p>
    <w:p>
      <w:pPr>
        <w:snapToGrid w:val="0"/>
        <w:rPr>
          <w:rFonts w:ascii="仿宋_GB2312" w:hAnsi="Times New Roman" w:eastAsia="仿宋_GB2312" w:cs="仿宋_GB2312"/>
          <w:sz w:val="32"/>
          <w:szCs w:val="32"/>
        </w:rPr>
      </w:pPr>
      <w:r>
        <w:rPr>
          <w:rFonts w:hint="eastAsia" w:ascii="仿宋_GB2312" w:hAnsi="Times New Roman" w:eastAsia="仿宋_GB2312" w:cs="仿宋_GB2312"/>
          <w:sz w:val="32"/>
          <w:szCs w:val="32"/>
        </w:rPr>
        <w:t xml:space="preserve">    </w:t>
      </w:r>
    </w:p>
    <w:p>
      <w:pPr>
        <w:snapToGrid w:val="0"/>
        <w:rPr>
          <w:rFonts w:ascii="仿宋_GB2312" w:hAnsi="Times New Roman" w:eastAsia="仿宋_GB2312" w:cs="仿宋_GB2312"/>
          <w:sz w:val="32"/>
          <w:szCs w:val="32"/>
        </w:rPr>
      </w:pPr>
      <w:r>
        <w:rPr>
          <w:rFonts w:hint="eastAsia" w:ascii="仿宋_GB2312" w:hAnsi="Times New Roman" w:eastAsia="仿宋_GB2312" w:cs="仿宋_GB2312"/>
          <w:sz w:val="32"/>
          <w:szCs w:val="32"/>
        </w:rPr>
        <w:t xml:space="preserve">    (</w:t>
      </w:r>
      <w:r>
        <w:rPr>
          <w:rFonts w:hint="eastAsia" w:eastAsia="仿宋_GB2312" w:cs="仿宋_GB2312" w:asciiTheme="minorHAnsi" w:hAnsiTheme="minorHAnsi"/>
          <w:sz w:val="32"/>
          <w:szCs w:val="32"/>
        </w:rPr>
        <w:t>二）</w:t>
      </w:r>
      <w:r>
        <w:rPr>
          <w:rFonts w:ascii="仿宋_GB2312" w:hAnsi="Times New Roman" w:eastAsia="仿宋_GB2312" w:cs="仿宋_GB2312"/>
          <w:sz w:val="32"/>
          <w:szCs w:val="32"/>
        </w:rPr>
        <w:t>负责组织协调党政机关、企事业单位和社会各界参与扶贫开发，开展有关扶贫方面的国内、国际交流与合作及横向经济协调；负责外资扶贫项目的引进、管理和监督检查工作。</w:t>
      </w:r>
    </w:p>
    <w:p>
      <w:pPr>
        <w:snapToGrid w:val="0"/>
        <w:rPr>
          <w:rFonts w:ascii="仿宋_GB2312" w:hAnsi="Times New Roman" w:eastAsia="仿宋_GB2312" w:cs="仿宋_GB2312"/>
          <w:sz w:val="32"/>
          <w:szCs w:val="32"/>
        </w:rPr>
      </w:pPr>
    </w:p>
    <w:p>
      <w:pPr>
        <w:snapToGrid w:val="0"/>
        <w:ind w:firstLine="707" w:firstLineChars="221"/>
        <w:rPr>
          <w:rFonts w:ascii="仿宋_GB2312" w:hAnsi="Times New Roman" w:eastAsia="仿宋_GB2312" w:cs="仿宋_GB2312"/>
          <w:sz w:val="32"/>
          <w:szCs w:val="32"/>
        </w:rPr>
      </w:pPr>
      <w:r>
        <w:rPr>
          <w:rFonts w:hint="eastAsia" w:ascii="仿宋_GB2312" w:hAnsi="Times New Roman" w:eastAsia="仿宋_GB2312" w:cs="仿宋_GB2312"/>
          <w:sz w:val="32"/>
          <w:szCs w:val="32"/>
        </w:rPr>
        <w:t>(</w:t>
      </w:r>
      <w:r>
        <w:rPr>
          <w:rFonts w:hint="eastAsia" w:eastAsia="仿宋_GB2312" w:cs="仿宋_GB2312" w:asciiTheme="minorHAnsi" w:hAnsiTheme="minorHAnsi"/>
          <w:sz w:val="32"/>
          <w:szCs w:val="32"/>
        </w:rPr>
        <w:t>三）</w:t>
      </w:r>
      <w:r>
        <w:rPr>
          <w:rFonts w:ascii="仿宋_GB2312" w:hAnsi="Times New Roman" w:eastAsia="仿宋_GB2312" w:cs="仿宋_GB2312"/>
          <w:sz w:val="32"/>
          <w:szCs w:val="32"/>
        </w:rPr>
        <w:t>会同有关部门拟订、调整全市农村牧区贫困人口标准；拟定、调整扶贫工作重点地区的数量、范围。</w:t>
      </w:r>
    </w:p>
    <w:p>
      <w:pPr>
        <w:snapToGrid w:val="0"/>
        <w:rPr>
          <w:rFonts w:ascii="仿宋_GB2312" w:hAnsi="Times New Roman" w:eastAsia="仿宋_GB2312" w:cs="仿宋_GB2312"/>
          <w:sz w:val="32"/>
          <w:szCs w:val="32"/>
        </w:rPr>
      </w:pPr>
    </w:p>
    <w:p>
      <w:pPr>
        <w:snapToGrid w:val="0"/>
        <w:ind w:firstLine="707" w:firstLineChars="221"/>
        <w:rPr>
          <w:rFonts w:ascii="仿宋_GB2312" w:hAnsi="Times New Roman" w:eastAsia="仿宋_GB2312" w:cs="仿宋_GB2312"/>
          <w:sz w:val="32"/>
          <w:szCs w:val="32"/>
        </w:rPr>
      </w:pPr>
      <w:r>
        <w:rPr>
          <w:rFonts w:hint="eastAsia" w:ascii="仿宋_GB2312" w:hAnsi="Times New Roman" w:eastAsia="仿宋_GB2312" w:cs="仿宋_GB2312"/>
          <w:sz w:val="32"/>
          <w:szCs w:val="32"/>
        </w:rPr>
        <w:t>(</w:t>
      </w:r>
      <w:r>
        <w:rPr>
          <w:rFonts w:hint="eastAsia" w:eastAsia="仿宋_GB2312" w:cs="仿宋_GB2312" w:asciiTheme="minorHAnsi" w:hAnsiTheme="minorHAnsi"/>
          <w:sz w:val="32"/>
          <w:szCs w:val="32"/>
        </w:rPr>
        <w:t>四）</w:t>
      </w:r>
      <w:r>
        <w:rPr>
          <w:rFonts w:ascii="仿宋_GB2312" w:hAnsi="Times New Roman" w:eastAsia="仿宋_GB2312" w:cs="仿宋_GB2312"/>
          <w:sz w:val="32"/>
          <w:szCs w:val="32"/>
        </w:rPr>
        <w:t>承担组织、协调和指导全市革命老区建设工作的职责，牵头组织申报、拟定、调整全市革命老区旗（市、区）的数量、范围。</w:t>
      </w:r>
    </w:p>
    <w:p>
      <w:pPr>
        <w:snapToGrid w:val="0"/>
        <w:rPr>
          <w:rFonts w:ascii="仿宋_GB2312" w:hAnsi="Times New Roman" w:eastAsia="仿宋_GB2312" w:cs="仿宋_GB2312"/>
          <w:sz w:val="32"/>
          <w:szCs w:val="32"/>
        </w:rPr>
      </w:pPr>
    </w:p>
    <w:p>
      <w:pPr>
        <w:snapToGrid w:val="0"/>
        <w:ind w:firstLine="707" w:firstLineChars="221"/>
        <w:rPr>
          <w:rFonts w:ascii="仿宋_GB2312" w:hAnsi="Times New Roman" w:eastAsia="仿宋_GB2312" w:cs="仿宋_GB2312"/>
          <w:sz w:val="32"/>
          <w:szCs w:val="32"/>
        </w:rPr>
      </w:pPr>
      <w:r>
        <w:rPr>
          <w:rFonts w:hint="eastAsia" w:ascii="仿宋_GB2312" w:hAnsi="Times New Roman" w:eastAsia="仿宋_GB2312" w:cs="仿宋_GB2312"/>
          <w:sz w:val="32"/>
          <w:szCs w:val="32"/>
        </w:rPr>
        <w:t>(</w:t>
      </w:r>
      <w:r>
        <w:rPr>
          <w:rFonts w:hint="eastAsia" w:eastAsia="仿宋_GB2312" w:cs="仿宋_GB2312" w:asciiTheme="minorHAnsi" w:hAnsiTheme="minorHAnsi"/>
          <w:sz w:val="32"/>
          <w:szCs w:val="32"/>
        </w:rPr>
        <w:t>五）</w:t>
      </w:r>
      <w:r>
        <w:rPr>
          <w:rFonts w:ascii="仿宋_GB2312" w:hAnsi="Times New Roman" w:eastAsia="仿宋_GB2312" w:cs="仿宋_GB2312"/>
          <w:sz w:val="32"/>
          <w:szCs w:val="32"/>
        </w:rPr>
        <w:t>会同有关部门组织开展全市扶贫开发统计与监测工作。</w:t>
      </w:r>
    </w:p>
    <w:p>
      <w:pPr>
        <w:snapToGrid w:val="0"/>
        <w:rPr>
          <w:rFonts w:ascii="仿宋_GB2312" w:hAnsi="Times New Roman" w:eastAsia="仿宋_GB2312" w:cs="仿宋_GB2312"/>
          <w:sz w:val="32"/>
          <w:szCs w:val="32"/>
        </w:rPr>
      </w:pPr>
    </w:p>
    <w:p>
      <w:pPr>
        <w:snapToGrid w:val="0"/>
        <w:ind w:firstLine="707" w:firstLineChars="221"/>
        <w:rPr>
          <w:rFonts w:ascii="仿宋_GB2312" w:hAnsi="Times New Roman" w:eastAsia="仿宋_GB2312" w:cs="仿宋_GB2312"/>
          <w:sz w:val="32"/>
          <w:szCs w:val="32"/>
        </w:rPr>
      </w:pPr>
      <w:r>
        <w:rPr>
          <w:rFonts w:hint="eastAsia" w:ascii="仿宋_GB2312" w:hAnsi="Times New Roman" w:eastAsia="仿宋_GB2312" w:cs="仿宋_GB2312"/>
          <w:sz w:val="32"/>
          <w:szCs w:val="32"/>
        </w:rPr>
        <w:t>(</w:t>
      </w:r>
      <w:r>
        <w:rPr>
          <w:rFonts w:hint="eastAsia" w:eastAsia="仿宋_GB2312" w:cs="仿宋_GB2312" w:asciiTheme="minorHAnsi" w:hAnsiTheme="minorHAnsi"/>
          <w:sz w:val="32"/>
          <w:szCs w:val="32"/>
        </w:rPr>
        <w:t>六）</w:t>
      </w:r>
      <w:r>
        <w:rPr>
          <w:rFonts w:ascii="仿宋_GB2312" w:hAnsi="Times New Roman" w:eastAsia="仿宋_GB2312" w:cs="仿宋_GB2312"/>
          <w:sz w:val="32"/>
          <w:szCs w:val="32"/>
        </w:rPr>
        <w:t>承担组织制定全市扶贫资金项目年度计划的职责；参与制订并组织实施全市扶贫开发资金项目管理的各项章制度；会同有关部门负责全市扶贫开发项目的管理工作。</w:t>
      </w:r>
    </w:p>
    <w:p>
      <w:pPr>
        <w:snapToGrid w:val="0"/>
        <w:rPr>
          <w:rFonts w:ascii="仿宋_GB2312" w:hAnsi="Times New Roman" w:eastAsia="仿宋_GB2312" w:cs="仿宋_GB2312"/>
          <w:sz w:val="32"/>
          <w:szCs w:val="32"/>
        </w:rPr>
      </w:pPr>
    </w:p>
    <w:p>
      <w:pPr>
        <w:snapToGrid w:val="0"/>
        <w:ind w:firstLine="707" w:firstLineChars="221"/>
        <w:rPr>
          <w:rFonts w:ascii="仿宋_GB2312" w:hAnsi="Times New Roman" w:eastAsia="仿宋_GB2312" w:cs="仿宋_GB2312"/>
          <w:sz w:val="32"/>
          <w:szCs w:val="32"/>
        </w:rPr>
      </w:pPr>
      <w:r>
        <w:rPr>
          <w:rFonts w:hint="eastAsia" w:ascii="仿宋_GB2312" w:hAnsi="Times New Roman" w:eastAsia="仿宋_GB2312" w:cs="仿宋_GB2312"/>
          <w:sz w:val="32"/>
          <w:szCs w:val="32"/>
        </w:rPr>
        <w:t>(</w:t>
      </w:r>
      <w:r>
        <w:rPr>
          <w:rFonts w:hint="eastAsia" w:eastAsia="仿宋_GB2312" w:cs="仿宋_GB2312" w:asciiTheme="minorHAnsi" w:hAnsiTheme="minorHAnsi"/>
          <w:sz w:val="32"/>
          <w:szCs w:val="32"/>
        </w:rPr>
        <w:t>七）</w:t>
      </w:r>
      <w:r>
        <w:rPr>
          <w:rFonts w:ascii="仿宋_GB2312" w:hAnsi="Times New Roman" w:eastAsia="仿宋_GB2312" w:cs="仿宋_GB2312"/>
          <w:sz w:val="32"/>
          <w:szCs w:val="32"/>
        </w:rPr>
        <w:t>承办市政府交办的其他事项。</w:t>
      </w:r>
    </w:p>
    <w:p>
      <w:pPr>
        <w:spacing w:line="580" w:lineRule="exact"/>
        <w:ind w:left="357"/>
        <w:rPr>
          <w:rFonts w:ascii="黑体" w:hAnsi="黑体" w:eastAsia="黑体" w:cs="仿宋_GB2312"/>
          <w:sz w:val="32"/>
          <w:szCs w:val="32"/>
        </w:rPr>
      </w:pPr>
      <w:r>
        <w:rPr>
          <w:rFonts w:ascii="黑体" w:hAnsi="黑体" w:eastAsia="黑体" w:cs="仿宋_GB2312"/>
          <w:sz w:val="32"/>
          <w:szCs w:val="32"/>
        </w:rPr>
        <w:t>二、机构设置及单位构成情况</w:t>
      </w:r>
      <w:bookmarkStart w:id="0" w:name="page6"/>
      <w:bookmarkEnd w:id="0"/>
    </w:p>
    <w:p>
      <w:pPr>
        <w:spacing w:line="580" w:lineRule="exact"/>
        <w:ind w:left="357" w:right="-338" w:rightChars="-141"/>
        <w:rPr>
          <w:rFonts w:ascii="仿宋_GB2312" w:hAnsi="Times New Roman" w:eastAsia="仿宋_GB2312" w:cs="仿宋_GB2312"/>
          <w:sz w:val="32"/>
          <w:szCs w:val="32"/>
        </w:rPr>
      </w:pPr>
      <w:r>
        <w:rPr>
          <w:rFonts w:hint="eastAsia" w:ascii="仿宋_GB2312" w:hAnsi="Times New Roman" w:eastAsia="仿宋_GB2312" w:cs="仿宋_GB2312"/>
          <w:sz w:val="32"/>
          <w:szCs w:val="32"/>
        </w:rPr>
        <w:t xml:space="preserve">    </w:t>
      </w:r>
      <w:r>
        <w:rPr>
          <w:rFonts w:ascii="仿宋_GB2312" w:hAnsi="Times New Roman" w:eastAsia="仿宋_GB2312" w:cs="仿宋_GB2312"/>
          <w:sz w:val="32"/>
          <w:szCs w:val="32"/>
        </w:rPr>
        <w:t>2018 年市扶贫开发办公室部门决算编制单位 2 个，分别是呼伦贝尔市扶贫开发办公室</w:t>
      </w:r>
      <w:r>
        <w:rPr>
          <w:rFonts w:hint="eastAsia" w:eastAsia="仿宋_GB2312" w:cs="仿宋_GB2312" w:asciiTheme="minorHAnsi" w:hAnsiTheme="minorHAnsi"/>
          <w:sz w:val="32"/>
          <w:szCs w:val="32"/>
        </w:rPr>
        <w:t>(本级)</w:t>
      </w:r>
      <w:r>
        <w:rPr>
          <w:rFonts w:ascii="仿宋_GB2312" w:hAnsi="Times New Roman" w:eastAsia="仿宋_GB2312" w:cs="仿宋_GB2312"/>
          <w:sz w:val="32"/>
          <w:szCs w:val="32"/>
        </w:rPr>
        <w:t>、呼伦贝尔市革命老区建设与扶贫项目管理站(扶贫信息管理中心</w:t>
      </w:r>
      <w:r>
        <w:rPr>
          <w:rFonts w:hint="eastAsia" w:ascii="仿宋_GB2312" w:hAnsi="Times New Roman" w:eastAsia="仿宋_GB2312" w:cs="仿宋_GB2312"/>
          <w:sz w:val="32"/>
          <w:szCs w:val="32"/>
        </w:rPr>
        <w:t>、扶贫考核评估中心</w:t>
      </w:r>
      <w:r>
        <w:rPr>
          <w:rFonts w:ascii="仿宋_GB2312" w:hAnsi="Times New Roman" w:eastAsia="仿宋_GB2312" w:cs="仿宋_GB2312"/>
          <w:sz w:val="32"/>
          <w:szCs w:val="32"/>
        </w:rPr>
        <w:t>)。</w:t>
      </w:r>
    </w:p>
    <w:p>
      <w:pPr>
        <w:spacing w:line="580" w:lineRule="exact"/>
        <w:ind w:left="357"/>
        <w:rPr>
          <w:rFonts w:ascii="仿宋_GB2312" w:hAnsi="Times New Roman" w:eastAsia="仿宋_GB2312" w:cs="仿宋_GB2312"/>
          <w:sz w:val="32"/>
          <w:szCs w:val="32"/>
        </w:rPr>
      </w:pPr>
      <w:r>
        <w:rPr>
          <w:rFonts w:hint="eastAsia" w:ascii="仿宋_GB2312" w:hAnsi="Times New Roman" w:eastAsia="仿宋_GB2312" w:cs="仿宋_GB2312"/>
          <w:sz w:val="32"/>
          <w:szCs w:val="32"/>
        </w:rPr>
        <w:t xml:space="preserve">   </w:t>
      </w:r>
      <w:r>
        <w:rPr>
          <w:rFonts w:ascii="仿宋_GB2312" w:hAnsi="Times New Roman" w:eastAsia="仿宋_GB2312" w:cs="仿宋_GB2312"/>
          <w:sz w:val="32"/>
          <w:szCs w:val="32"/>
        </w:rPr>
        <w:t>呼伦贝尔市扶贫开发办公室行政编制人数</w:t>
      </w:r>
      <w:r>
        <w:rPr>
          <w:rFonts w:hint="eastAsia" w:ascii="仿宋_GB2312" w:hAnsi="Times New Roman" w:eastAsia="仿宋_GB2312" w:cs="仿宋_GB2312"/>
          <w:sz w:val="32"/>
          <w:szCs w:val="32"/>
        </w:rPr>
        <w:t>13</w:t>
      </w:r>
      <w:r>
        <w:rPr>
          <w:rFonts w:ascii="仿宋_GB2312" w:hAnsi="Times New Roman" w:eastAsia="仿宋_GB2312" w:cs="仿宋_GB2312"/>
          <w:sz w:val="32"/>
          <w:szCs w:val="32"/>
        </w:rPr>
        <w:t xml:space="preserve"> 人，工勤编2 人，实有呼伦贝尔市扶贫开发办公室行政编制在职人数 1</w:t>
      </w:r>
      <w:r>
        <w:rPr>
          <w:rFonts w:hint="eastAsia" w:ascii="仿宋_GB2312" w:hAnsi="Times New Roman" w:eastAsia="仿宋_GB2312" w:cs="仿宋_GB2312"/>
          <w:sz w:val="32"/>
          <w:szCs w:val="32"/>
        </w:rPr>
        <w:t>3</w:t>
      </w:r>
      <w:r>
        <w:rPr>
          <w:rFonts w:ascii="仿宋_GB2312" w:hAnsi="Times New Roman" w:eastAsia="仿宋_GB2312" w:cs="仿宋_GB2312"/>
          <w:sz w:val="32"/>
          <w:szCs w:val="32"/>
        </w:rPr>
        <w:t>人，工勤人数 2 人，退休人数 4 人。</w:t>
      </w:r>
    </w:p>
    <w:p>
      <w:pPr>
        <w:spacing w:line="580" w:lineRule="exact"/>
        <w:ind w:left="357"/>
      </w:pPr>
      <w:r>
        <w:rPr>
          <w:rFonts w:hint="eastAsia" w:ascii="仿宋_GB2312" w:hAnsi="Times New Roman" w:eastAsia="仿宋_GB2312" w:cs="仿宋_GB2312"/>
          <w:sz w:val="32"/>
          <w:szCs w:val="32"/>
        </w:rPr>
        <w:t xml:space="preserve">   </w:t>
      </w:r>
      <w:r>
        <w:rPr>
          <w:rFonts w:ascii="仿宋_GB2312" w:hAnsi="Times New Roman" w:eastAsia="仿宋_GB2312" w:cs="仿宋_GB2312"/>
          <w:sz w:val="32"/>
          <w:szCs w:val="32"/>
        </w:rPr>
        <w:t>呼伦贝尔市革命老区建设与扶贫项目管理站(扶贫信息管理中心</w:t>
      </w:r>
      <w:r>
        <w:rPr>
          <w:rFonts w:hint="eastAsia" w:ascii="仿宋_GB2312" w:hAnsi="Times New Roman" w:eastAsia="仿宋_GB2312" w:cs="仿宋_GB2312"/>
          <w:sz w:val="32"/>
          <w:szCs w:val="32"/>
        </w:rPr>
        <w:t>、扶贫考核评估中心</w:t>
      </w:r>
      <w:r>
        <w:rPr>
          <w:rFonts w:ascii="仿宋_GB2312" w:hAnsi="Times New Roman" w:eastAsia="仿宋_GB2312" w:cs="仿宋_GB2312"/>
          <w:sz w:val="32"/>
          <w:szCs w:val="32"/>
        </w:rPr>
        <w:t>)事业编制2</w:t>
      </w:r>
      <w:r>
        <w:rPr>
          <w:rFonts w:hint="eastAsia" w:ascii="仿宋_GB2312" w:hAnsi="Times New Roman" w:eastAsia="仿宋_GB2312" w:cs="仿宋_GB2312"/>
          <w:sz w:val="32"/>
          <w:szCs w:val="32"/>
        </w:rPr>
        <w:t>5</w:t>
      </w:r>
      <w:r>
        <w:rPr>
          <w:rFonts w:ascii="仿宋_GB2312" w:hAnsi="Times New Roman" w:eastAsia="仿宋_GB2312" w:cs="仿宋_GB2312"/>
          <w:sz w:val="32"/>
          <w:szCs w:val="32"/>
        </w:rPr>
        <w:t xml:space="preserve"> 人，实有在职人数 </w:t>
      </w:r>
      <w:r>
        <w:rPr>
          <w:rFonts w:hint="eastAsia" w:ascii="仿宋_GB2312" w:hAnsi="Times New Roman" w:eastAsia="仿宋_GB2312" w:cs="仿宋_GB2312"/>
          <w:sz w:val="32"/>
          <w:szCs w:val="32"/>
        </w:rPr>
        <w:t>21</w:t>
      </w:r>
      <w:r>
        <w:rPr>
          <w:rFonts w:ascii="仿宋_GB2312" w:hAnsi="Times New Roman" w:eastAsia="仿宋_GB2312" w:cs="仿宋_GB2312"/>
          <w:sz w:val="32"/>
          <w:szCs w:val="32"/>
        </w:rPr>
        <w:t xml:space="preserve"> 人。</w:t>
      </w:r>
    </w:p>
    <w:p>
      <w:pPr>
        <w:adjustRightInd w:val="0"/>
        <w:spacing w:before="100" w:beforeAutospacing="1" w:after="100" w:afterAutospacing="1" w:line="580" w:lineRule="exact"/>
        <w:ind w:firstLine="600"/>
        <w:jc w:val="center"/>
        <w:rPr>
          <w:rFonts w:ascii="黑体" w:hAnsi="黑体" w:eastAsia="黑体"/>
        </w:rPr>
      </w:pPr>
      <w:r>
        <w:rPr>
          <w:rFonts w:hint="eastAsia" w:ascii="黑体" w:hAnsi="黑体" w:eastAsia="黑体" w:cs="仿宋_GB2312"/>
          <w:b/>
          <w:bCs/>
          <w:sz w:val="32"/>
          <w:szCs w:val="32"/>
        </w:rPr>
        <w:t>第二部分 2018年度部门决算情况说明</w:t>
      </w:r>
    </w:p>
    <w:p>
      <w:pPr>
        <w:adjustRightInd w:val="0"/>
        <w:spacing w:before="100" w:beforeAutospacing="1" w:after="100" w:afterAutospacing="1" w:line="580" w:lineRule="exact"/>
        <w:ind w:firstLine="600"/>
        <w:rPr>
          <w:rFonts w:ascii="黑体" w:hAnsi="黑体" w:eastAsia="黑体"/>
          <w:b/>
        </w:rPr>
      </w:pPr>
      <w:r>
        <w:rPr>
          <w:rFonts w:hint="eastAsia" w:ascii="黑体" w:hAnsi="黑体" w:eastAsia="黑体" w:cs="仿宋_GB2312"/>
          <w:b/>
          <w:sz w:val="32"/>
          <w:szCs w:val="32"/>
        </w:rPr>
        <w:t>一、关于2018年度预算执行情况分析</w:t>
      </w:r>
    </w:p>
    <w:p>
      <w:pPr>
        <w:adjustRightInd w:val="0"/>
        <w:spacing w:before="100" w:beforeAutospacing="1" w:after="100" w:afterAutospacing="1" w:line="580" w:lineRule="exact"/>
        <w:ind w:right="-55" w:rightChars="-23" w:firstLine="600"/>
        <w:rPr>
          <w:rFonts w:eastAsia="仿宋_GB2312" w:cs="仿宋_GB2312" w:asciiTheme="minorHAnsi" w:hAnsiTheme="minorHAnsi"/>
          <w:sz w:val="32"/>
          <w:szCs w:val="32"/>
        </w:rPr>
      </w:pPr>
      <w:r>
        <w:rPr>
          <w:rFonts w:hint="eastAsia" w:ascii="仿宋_GB2312" w:hAnsi="Times New Roman" w:eastAsia="仿宋_GB2312" w:cs="仿宋_GB2312"/>
          <w:sz w:val="32"/>
          <w:szCs w:val="32"/>
        </w:rPr>
        <w:t>2018年度收支总计11,632.85万元，年初预算收支总计389万元；增加原因主要是市财政拔产业扶贫基金10600万元及业务费和上年结转</w:t>
      </w:r>
      <w:r>
        <w:rPr>
          <w:rFonts w:hint="eastAsia" w:eastAsia="仿宋_GB2312" w:cs="仿宋_GB2312" w:asciiTheme="minorHAnsi" w:hAnsiTheme="minorHAnsi"/>
          <w:sz w:val="32"/>
          <w:szCs w:val="32"/>
        </w:rPr>
        <w:t>、</w:t>
      </w:r>
      <w:r>
        <w:rPr>
          <w:rFonts w:hint="eastAsia" w:ascii="仿宋_GB2312" w:hAnsi="Times New Roman" w:eastAsia="仿宋_GB2312" w:cs="仿宋_GB2312"/>
          <w:sz w:val="32"/>
          <w:szCs w:val="32"/>
        </w:rPr>
        <w:t>人员增资。</w:t>
      </w:r>
    </w:p>
    <w:p>
      <w:pPr>
        <w:adjustRightInd w:val="0"/>
        <w:spacing w:before="100" w:beforeAutospacing="1" w:after="100" w:afterAutospacing="1" w:line="580" w:lineRule="exact"/>
        <w:ind w:right="-197" w:rightChars="-82" w:firstLine="600"/>
        <w:rPr>
          <w:rFonts w:asciiTheme="minorHAnsi" w:hAnsiTheme="minorHAnsi"/>
        </w:rPr>
      </w:pPr>
      <w:r>
        <w:rPr>
          <w:rFonts w:hint="eastAsia" w:ascii="仿宋_GB2312" w:hAnsi="Times New Roman" w:eastAsia="仿宋_GB2312" w:cs="仿宋_GB2312"/>
          <w:sz w:val="32"/>
          <w:szCs w:val="32"/>
        </w:rPr>
        <w:t>2018年度财政拨款收</w:t>
      </w:r>
      <w:r>
        <w:rPr>
          <w:rFonts w:hint="eastAsia" w:eastAsia="仿宋_GB2312" w:cs="仿宋_GB2312" w:asciiTheme="minorHAnsi" w:hAnsiTheme="minorHAnsi"/>
          <w:sz w:val="32"/>
          <w:szCs w:val="32"/>
        </w:rPr>
        <w:t>支</w:t>
      </w:r>
      <w:r>
        <w:rPr>
          <w:rFonts w:hint="eastAsia" w:ascii="仿宋_GB2312" w:hAnsi="Times New Roman" w:eastAsia="仿宋_GB2312" w:cs="仿宋_GB2312"/>
          <w:sz w:val="32"/>
          <w:szCs w:val="32"/>
        </w:rPr>
        <w:t>总计11,592.39万元，年初</w:t>
      </w:r>
      <w:r>
        <w:rPr>
          <w:rFonts w:hint="eastAsia" w:ascii="仿宋_GB2312" w:hAnsi="Times New Roman" w:eastAsia="仿宋_GB2312" w:cs="仿宋_GB2312"/>
          <w:sz w:val="32"/>
          <w:szCs w:val="32"/>
          <w:lang w:eastAsia="zh-CN"/>
        </w:rPr>
        <w:t>财政拨款</w:t>
      </w:r>
      <w:r>
        <w:rPr>
          <w:rFonts w:hint="eastAsia" w:ascii="仿宋_GB2312" w:hAnsi="Times New Roman" w:eastAsia="仿宋_GB2312" w:cs="仿宋_GB2312"/>
          <w:sz w:val="32"/>
          <w:szCs w:val="32"/>
        </w:rPr>
        <w:t>预算收支总计389万元，增加原因主要是市财政拔产业扶贫基金10600万元及业务费和上年结转、人员增资。</w:t>
      </w:r>
    </w:p>
    <w:p>
      <w:pPr>
        <w:adjustRightInd w:val="0"/>
        <w:spacing w:before="100" w:beforeAutospacing="1" w:after="100" w:afterAutospacing="1" w:line="580" w:lineRule="exact"/>
        <w:ind w:firstLine="600"/>
        <w:rPr>
          <w:rFonts w:ascii="黑体" w:hAnsi="黑体" w:eastAsia="黑体"/>
          <w:b/>
        </w:rPr>
      </w:pPr>
      <w:r>
        <w:rPr>
          <w:rFonts w:hint="eastAsia" w:ascii="黑体" w:hAnsi="黑体" w:eastAsia="黑体" w:cs="仿宋_GB2312"/>
          <w:b/>
          <w:sz w:val="32"/>
          <w:szCs w:val="32"/>
        </w:rPr>
        <w:t>二、关于2018年度决算情况说明</w:t>
      </w:r>
    </w:p>
    <w:p>
      <w:pPr>
        <w:adjustRightInd w:val="0"/>
        <w:spacing w:before="100" w:beforeAutospacing="1" w:after="100" w:afterAutospacing="1" w:line="580" w:lineRule="exact"/>
        <w:ind w:firstLine="600"/>
        <w:rPr>
          <w:b/>
        </w:rPr>
      </w:pPr>
      <w:r>
        <w:rPr>
          <w:rFonts w:hint="eastAsia" w:ascii="楷体" w:hAnsi="Times New Roman" w:eastAsia="楷体" w:cs="楷体"/>
          <w:b/>
          <w:sz w:val="32"/>
          <w:szCs w:val="32"/>
        </w:rPr>
        <w:t>（一）关于收支情况总体说明</w:t>
      </w:r>
    </w:p>
    <w:p>
      <w:pPr>
        <w:adjustRightInd w:val="0"/>
        <w:spacing w:before="100" w:beforeAutospacing="1" w:after="100" w:afterAutospacing="1" w:line="580" w:lineRule="exact"/>
        <w:ind w:right="-197" w:rightChars="-82" w:firstLine="600"/>
      </w:pPr>
      <w:r>
        <w:rPr>
          <w:rFonts w:hint="eastAsia" w:ascii="仿宋_GB2312" w:hAnsi="Times New Roman" w:eastAsia="仿宋_GB2312" w:cs="仿宋_GB2312"/>
          <w:sz w:val="32"/>
          <w:szCs w:val="32"/>
        </w:rPr>
        <w:t>本部门2018年度收入总计11,632.85万元，其中：本年收入合计11,208.26万元，年初结转和结余424.59万元；支出总计11,632.85万元，其中：年末结转和结余304.90万元。与2017年度相比，收入总计增加6,260.03万元，增长116.50%；支出总计增加6,260.03万元，增长116.50%。主要原因：市财政拔产业扶贫基金10600万元及扶贫工作业务费和上年结转</w:t>
      </w:r>
      <w:r>
        <w:rPr>
          <w:rFonts w:hint="eastAsia" w:eastAsia="仿宋_GB2312" w:cs="仿宋_GB2312" w:asciiTheme="minorHAnsi" w:hAnsiTheme="minorHAnsi"/>
          <w:sz w:val="32"/>
          <w:szCs w:val="32"/>
        </w:rPr>
        <w:t>、</w:t>
      </w:r>
      <w:r>
        <w:rPr>
          <w:rFonts w:hint="eastAsia" w:ascii="仿宋_GB2312" w:hAnsi="Times New Roman" w:eastAsia="仿宋_GB2312" w:cs="仿宋_GB2312"/>
          <w:sz w:val="32"/>
          <w:szCs w:val="32"/>
        </w:rPr>
        <w:t>人员增资。</w:t>
      </w:r>
    </w:p>
    <w:p>
      <w:pPr>
        <w:adjustRightInd w:val="0"/>
        <w:spacing w:before="100" w:beforeAutospacing="1" w:after="100" w:afterAutospacing="1" w:line="580" w:lineRule="exact"/>
        <w:ind w:firstLine="600"/>
        <w:rPr>
          <w:b/>
        </w:rPr>
      </w:pPr>
      <w:r>
        <w:rPr>
          <w:rFonts w:hint="eastAsia" w:ascii="楷体" w:hAnsi="Times New Roman" w:eastAsia="楷体" w:cs="楷体"/>
          <w:b/>
          <w:sz w:val="32"/>
          <w:szCs w:val="32"/>
        </w:rPr>
        <w:t>（二）关于2018年度收入决算情况说明</w:t>
      </w:r>
    </w:p>
    <w:p>
      <w:pPr>
        <w:adjustRightInd w:val="0"/>
        <w:spacing w:before="100" w:beforeAutospacing="1" w:after="100" w:afterAutospacing="1" w:line="580" w:lineRule="exact"/>
        <w:ind w:firstLine="600"/>
        <w:rPr>
          <w:rFonts w:eastAsia="仿宋_GB2312" w:cs="仿宋_GB2312" w:asciiTheme="minorHAnsi" w:hAnsiTheme="minorHAnsi"/>
          <w:sz w:val="32"/>
          <w:szCs w:val="32"/>
        </w:rPr>
      </w:pPr>
      <w:r>
        <w:rPr>
          <w:rFonts w:hint="eastAsia" w:ascii="仿宋_GB2312" w:hAnsi="Times New Roman" w:eastAsia="仿宋_GB2312" w:cs="仿宋_GB2312"/>
          <w:sz w:val="32"/>
          <w:szCs w:val="32"/>
        </w:rPr>
        <w:t>本部门2018年度收入合计11,208.26万元，其中：财政拨款收入11,188.07万元，占99.80%；其他收入20.19万元，占0.20%。</w:t>
      </w:r>
    </w:p>
    <w:p>
      <w:pPr>
        <w:adjustRightInd w:val="0"/>
        <w:spacing w:before="100" w:beforeAutospacing="1" w:after="100" w:afterAutospacing="1" w:line="580" w:lineRule="exact"/>
        <w:ind w:firstLine="600"/>
        <w:rPr>
          <w:b/>
        </w:rPr>
      </w:pPr>
      <w:r>
        <w:rPr>
          <w:rFonts w:hint="eastAsia" w:ascii="楷体" w:hAnsi="Times New Roman" w:eastAsia="楷体" w:cs="楷体"/>
          <w:b/>
          <w:sz w:val="32"/>
          <w:szCs w:val="32"/>
        </w:rPr>
        <w:t>（三）关于2018年度支出决算情况说明</w:t>
      </w:r>
    </w:p>
    <w:p>
      <w:pPr>
        <w:adjustRightInd w:val="0"/>
        <w:spacing w:before="100" w:beforeAutospacing="1" w:after="100" w:afterAutospacing="1" w:line="580" w:lineRule="exact"/>
        <w:ind w:firstLine="600"/>
        <w:rPr>
          <w:rFonts w:eastAsia="仿宋_GB2312" w:cs="仿宋_GB2312" w:asciiTheme="minorHAnsi" w:hAnsiTheme="minorHAnsi"/>
          <w:sz w:val="32"/>
          <w:szCs w:val="32"/>
        </w:rPr>
      </w:pPr>
      <w:r>
        <w:rPr>
          <w:rFonts w:hint="eastAsia" w:ascii="仿宋_GB2312" w:hAnsi="Times New Roman" w:eastAsia="仿宋_GB2312" w:cs="仿宋_GB2312"/>
          <w:sz w:val="32"/>
          <w:szCs w:val="32"/>
        </w:rPr>
        <w:t>本部门2018年度支出合计11,327.95万元，其中：基本支出608.58万元，占5.40%；项目支出10,719.37万元，占94.60%</w:t>
      </w:r>
      <w:r>
        <w:rPr>
          <w:rFonts w:hint="eastAsia" w:eastAsia="仿宋_GB2312" w:cs="仿宋_GB2312" w:asciiTheme="minorHAnsi" w:hAnsiTheme="minorHAnsi"/>
          <w:sz w:val="32"/>
          <w:szCs w:val="32"/>
        </w:rPr>
        <w:t>。</w:t>
      </w:r>
    </w:p>
    <w:p>
      <w:pPr>
        <w:adjustRightInd w:val="0"/>
        <w:spacing w:before="100" w:beforeAutospacing="1" w:after="100" w:afterAutospacing="1" w:line="580" w:lineRule="exact"/>
        <w:ind w:firstLine="600"/>
        <w:rPr>
          <w:b/>
        </w:rPr>
      </w:pPr>
      <w:r>
        <w:rPr>
          <w:rFonts w:hint="eastAsia" w:ascii="楷体" w:hAnsi="Times New Roman" w:eastAsia="楷体" w:cs="楷体"/>
          <w:b/>
          <w:sz w:val="32"/>
          <w:szCs w:val="32"/>
        </w:rPr>
        <w:t>（四）关于2018年度财政拨款收入支出决算总体情况说明</w:t>
      </w:r>
    </w:p>
    <w:p>
      <w:pPr>
        <w:adjustRightInd w:val="0"/>
        <w:spacing w:before="100" w:beforeAutospacing="1" w:after="100" w:afterAutospacing="1" w:line="580" w:lineRule="exact"/>
        <w:ind w:firstLine="600"/>
      </w:pPr>
      <w:r>
        <w:rPr>
          <w:rFonts w:hint="eastAsia" w:ascii="仿宋_GB2312" w:hAnsi="Times New Roman" w:eastAsia="仿宋_GB2312" w:cs="仿宋_GB2312"/>
          <w:sz w:val="32"/>
          <w:szCs w:val="32"/>
        </w:rPr>
        <w:t>本部门2018年度财政拨款收入总计11,592.39万元，其中：年初结转和结余404.32万元；支出总计11,592.39万元，其中：年末结转和结余282.63万元。与2017年度相比，收入增加6,259.91万元，增长117.40%；支出增加6,259.91万元，增长117.40%。主要原因：产业扶贫基金比上年的产业扶贫基金及其他扶贫资金增加。</w:t>
      </w:r>
    </w:p>
    <w:p>
      <w:pPr>
        <w:adjustRightInd w:val="0"/>
        <w:spacing w:before="100" w:beforeAutospacing="1" w:after="100" w:afterAutospacing="1" w:line="580" w:lineRule="exact"/>
        <w:ind w:firstLine="600"/>
        <w:rPr>
          <w:b/>
        </w:rPr>
      </w:pPr>
      <w:r>
        <w:rPr>
          <w:rFonts w:hint="eastAsia" w:ascii="楷体" w:hAnsi="Times New Roman" w:eastAsia="楷体" w:cs="楷体"/>
          <w:b/>
          <w:sz w:val="32"/>
          <w:szCs w:val="32"/>
        </w:rPr>
        <w:t>（五）关于2018年度一般公共预算财政拨款支出决算情况说明</w:t>
      </w:r>
    </w:p>
    <w:p>
      <w:pPr>
        <w:adjustRightInd w:val="0"/>
        <w:spacing w:before="100" w:beforeAutospacing="1" w:after="100" w:afterAutospacing="1" w:line="580" w:lineRule="exact"/>
        <w:ind w:firstLine="600"/>
      </w:pPr>
      <w:r>
        <w:rPr>
          <w:rFonts w:hint="eastAsia" w:ascii="仿宋_GB2312" w:hAnsi="Times New Roman" w:eastAsia="仿宋_GB2312" w:cs="仿宋_GB2312"/>
          <w:sz w:val="32"/>
          <w:szCs w:val="32"/>
        </w:rPr>
        <w:t>本部门2018年度一般公共预算财政拨款支出合计11,309.76万元，其中：基本支出593.27万元，占5.20%；项目支出10,716.49万元，占94.80%。</w:t>
      </w:r>
    </w:p>
    <w:p>
      <w:pPr>
        <w:adjustRightInd w:val="0"/>
        <w:spacing w:before="100" w:beforeAutospacing="1" w:after="100" w:afterAutospacing="1" w:line="580" w:lineRule="exact"/>
        <w:ind w:firstLine="600"/>
        <w:rPr>
          <w:b/>
        </w:rPr>
      </w:pPr>
      <w:r>
        <w:rPr>
          <w:rFonts w:hint="eastAsia" w:ascii="楷体" w:hAnsi="Times New Roman" w:eastAsia="楷体" w:cs="楷体"/>
          <w:b/>
          <w:sz w:val="32"/>
          <w:szCs w:val="32"/>
        </w:rPr>
        <w:t>（六）关于2018年度一般公共预算财政拨款基本支出决算情况说明</w:t>
      </w:r>
    </w:p>
    <w:p>
      <w:pPr>
        <w:adjustRightInd w:val="0"/>
        <w:spacing w:before="100" w:beforeAutospacing="1" w:after="100" w:afterAutospacing="1" w:line="580" w:lineRule="exact"/>
        <w:ind w:firstLine="600"/>
      </w:pPr>
      <w:r>
        <w:rPr>
          <w:rFonts w:hint="eastAsia" w:ascii="仿宋_GB2312" w:hAnsi="Times New Roman" w:eastAsia="仿宋_GB2312" w:cs="仿宋_GB2312"/>
          <w:sz w:val="32"/>
          <w:szCs w:val="32"/>
        </w:rPr>
        <w:t>本部门2018年度一般公共预算财政拨款基本支出593.26万元，其中：人员经费331.32万元，主要包括：</w:t>
      </w:r>
      <w:r>
        <w:rPr>
          <w:rFonts w:hint="eastAsia" w:ascii="仿宋_GB2312" w:hAnsi="Times New Roman" w:eastAsia="仿宋_GB2312" w:cs="仿宋_GB2312"/>
          <w:color w:val="FF0000"/>
          <w:sz w:val="32"/>
          <w:szCs w:val="32"/>
        </w:rPr>
        <w:t xml:space="preserve"> </w:t>
      </w:r>
      <w:r>
        <w:rPr>
          <w:rFonts w:hint="eastAsia" w:ascii="仿宋_GB2312" w:hAnsi="Times New Roman" w:eastAsia="仿宋_GB2312" w:cs="仿宋_GB2312"/>
          <w:sz w:val="32"/>
          <w:szCs w:val="32"/>
        </w:rPr>
        <w:t>基本工资、津贴补贴、奖金、社会保障缴费</w:t>
      </w:r>
      <w:r>
        <w:rPr>
          <w:rFonts w:hint="eastAsia" w:eastAsia="仿宋_GB2312" w:cs="仿宋_GB2312" w:asciiTheme="minorHAnsi" w:hAnsiTheme="minorHAnsi"/>
          <w:sz w:val="32"/>
          <w:szCs w:val="32"/>
        </w:rPr>
        <w:t>、养老保险、职业年金、退休费等</w:t>
      </w:r>
      <w:r>
        <w:rPr>
          <w:rFonts w:hint="eastAsia" w:ascii="仿宋_GB2312" w:hAnsi="Times New Roman" w:eastAsia="仿宋_GB2312" w:cs="仿宋_GB2312"/>
          <w:sz w:val="32"/>
          <w:szCs w:val="32"/>
        </w:rPr>
        <w:t>增加27.31万元，主要原因是：人员增加和人员工资标准调整等；公用经费261.94万元，主要包括：办公费、印刷费、咨询费、差旅费、会议费、培训费、公车运行维护费、委托业务费、其他交通费、</w:t>
      </w:r>
      <w:r>
        <w:rPr>
          <w:rFonts w:hint="eastAsia" w:ascii="仿宋" w:hAnsi="仿宋" w:eastAsia="仿宋" w:cs="Arial"/>
          <w:sz w:val="32"/>
          <w:szCs w:val="32"/>
        </w:rPr>
        <w:t>维修（护）费、租赁费、会议费、邮电费、办公设备购置费等商品服务支出和资本性支出，</w:t>
      </w:r>
      <w:r>
        <w:rPr>
          <w:rFonts w:hint="eastAsia" w:ascii="仿宋_GB2312" w:hAnsi="Times New Roman" w:eastAsia="仿宋_GB2312" w:cs="仿宋_GB2312"/>
          <w:sz w:val="32"/>
          <w:szCs w:val="32"/>
        </w:rPr>
        <w:t>较上年增加206.07万元，主要原因是：</w:t>
      </w:r>
      <w:r>
        <w:rPr>
          <w:rFonts w:hint="eastAsia" w:eastAsia="仿宋_GB2312" w:cs="仿宋_GB2312" w:asciiTheme="minorHAnsi" w:hAnsiTheme="minorHAnsi"/>
          <w:sz w:val="32"/>
          <w:szCs w:val="32"/>
          <w:lang w:eastAsia="zh-CN"/>
        </w:rPr>
        <w:t>财政拨款</w:t>
      </w:r>
      <w:r>
        <w:rPr>
          <w:rFonts w:hint="eastAsia" w:eastAsia="仿宋_GB2312" w:cs="仿宋_GB2312" w:asciiTheme="minorHAnsi" w:hAnsiTheme="minorHAnsi"/>
          <w:sz w:val="32"/>
          <w:szCs w:val="32"/>
        </w:rPr>
        <w:t>基本支出上年结转较大</w:t>
      </w:r>
      <w:r>
        <w:rPr>
          <w:rFonts w:hint="eastAsia" w:ascii="仿宋_GB2312" w:hAnsi="Times New Roman" w:eastAsia="仿宋_GB2312" w:cs="仿宋_GB2312"/>
          <w:sz w:val="32"/>
          <w:szCs w:val="32"/>
        </w:rPr>
        <w:t>。</w:t>
      </w:r>
    </w:p>
    <w:p>
      <w:pPr>
        <w:adjustRightInd w:val="0"/>
        <w:spacing w:before="100" w:beforeAutospacing="1" w:after="100" w:afterAutospacing="1" w:line="580" w:lineRule="exact"/>
        <w:ind w:firstLine="600"/>
        <w:rPr>
          <w:b/>
        </w:rPr>
      </w:pPr>
      <w:r>
        <w:rPr>
          <w:rFonts w:hint="eastAsia" w:ascii="楷体" w:hAnsi="Times New Roman" w:eastAsia="楷体" w:cs="楷体"/>
          <w:b/>
          <w:sz w:val="32"/>
          <w:szCs w:val="32"/>
        </w:rPr>
        <w:t>（七）关于2018年度财政拨款</w:t>
      </w:r>
      <w:r>
        <w:rPr>
          <w:rFonts w:ascii="楷体" w:hAnsi="Times New Roman" w:eastAsia="楷体" w:cs="楷体"/>
          <w:b/>
          <w:sz w:val="32"/>
          <w:szCs w:val="32"/>
        </w:rPr>
        <w:t>“</w:t>
      </w:r>
      <w:r>
        <w:rPr>
          <w:rFonts w:hint="eastAsia" w:ascii="楷体" w:hAnsi="Times New Roman" w:eastAsia="楷体" w:cs="楷体"/>
          <w:b/>
          <w:sz w:val="32"/>
          <w:szCs w:val="32"/>
        </w:rPr>
        <w:t>三公</w:t>
      </w:r>
      <w:r>
        <w:rPr>
          <w:rFonts w:ascii="楷体" w:hAnsi="Times New Roman" w:eastAsia="楷体" w:cs="楷体"/>
          <w:b/>
          <w:sz w:val="32"/>
          <w:szCs w:val="32"/>
        </w:rPr>
        <w:t>”</w:t>
      </w:r>
      <w:r>
        <w:rPr>
          <w:rFonts w:hint="eastAsia" w:ascii="楷体" w:hAnsi="Times New Roman" w:eastAsia="楷体" w:cs="楷体"/>
          <w:b/>
          <w:sz w:val="32"/>
          <w:szCs w:val="32"/>
        </w:rPr>
        <w:t>经费支出决算情况说明</w:t>
      </w:r>
    </w:p>
    <w:p>
      <w:pPr>
        <w:adjustRightInd w:val="0"/>
        <w:spacing w:before="100" w:beforeAutospacing="1" w:after="100" w:afterAutospacing="1" w:line="580" w:lineRule="exact"/>
        <w:ind w:firstLine="600"/>
        <w:rPr>
          <w:b/>
        </w:rPr>
      </w:pPr>
      <w:r>
        <w:rPr>
          <w:rFonts w:hint="eastAsia" w:ascii="仿宋_GB2312" w:hAnsi="Times New Roman" w:eastAsia="仿宋_GB2312" w:cs="仿宋_GB2312"/>
          <w:b/>
          <w:sz w:val="32"/>
          <w:szCs w:val="32"/>
        </w:rPr>
        <w:t>1、“三公”经费财政拨款支出决算总体情况说明</w:t>
      </w:r>
    </w:p>
    <w:p>
      <w:pPr>
        <w:adjustRightInd w:val="0"/>
        <w:spacing w:before="100" w:beforeAutospacing="1" w:after="100" w:afterAutospacing="1" w:line="580" w:lineRule="exact"/>
        <w:ind w:right="-197" w:rightChars="-82" w:firstLine="600"/>
      </w:pPr>
      <w:r>
        <w:rPr>
          <w:rFonts w:hint="eastAsia" w:ascii="仿宋_GB2312" w:hAnsi="Times New Roman" w:eastAsia="仿宋_GB2312" w:cs="仿宋_GB2312"/>
          <w:sz w:val="32"/>
          <w:szCs w:val="32"/>
        </w:rPr>
        <w:t>本部门2018年度财政拨款“三公”经费预算为17.00万元，支出决算为12.45万元，完成预算的73.30%，其中：因公出国（境）费支出决算为0.00万元；公务用车购置及运行维护费支出决算为12.03万元，完成预算的87.80%；公务接待费支出决算为0.42万元，完成预算的12.80%。2018年度财政拨款</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三公</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经费支出决算与预算差异情况的原因：严格执行“三公”经费预算控制数。</w:t>
      </w:r>
    </w:p>
    <w:p>
      <w:pPr>
        <w:adjustRightInd w:val="0"/>
        <w:spacing w:before="100" w:beforeAutospacing="1" w:after="100" w:afterAutospacing="1" w:line="580" w:lineRule="exact"/>
        <w:ind w:firstLine="600"/>
        <w:rPr>
          <w:b/>
        </w:rPr>
      </w:pPr>
      <w:r>
        <w:rPr>
          <w:rFonts w:hint="eastAsia" w:ascii="仿宋_GB2312" w:hAnsi="Times New Roman" w:eastAsia="仿宋_GB2312" w:cs="仿宋_GB2312"/>
          <w:b/>
          <w:sz w:val="32"/>
          <w:szCs w:val="32"/>
        </w:rPr>
        <w:t>2、“三公”经费财政拨款支出决算具体情况说明</w:t>
      </w:r>
    </w:p>
    <w:p>
      <w:pPr>
        <w:adjustRightInd w:val="0"/>
        <w:spacing w:before="100" w:beforeAutospacing="1" w:after="100" w:afterAutospacing="1" w:line="580" w:lineRule="exact"/>
        <w:ind w:firstLine="600"/>
      </w:pPr>
      <w:r>
        <w:rPr>
          <w:rFonts w:hint="eastAsia" w:ascii="仿宋_GB2312" w:hAnsi="Times New Roman" w:eastAsia="仿宋_GB2312" w:cs="仿宋_GB2312"/>
          <w:sz w:val="32"/>
          <w:szCs w:val="32"/>
        </w:rPr>
        <w:t>本部门2018年度财政拨款</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三公</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经费支出12.45万元，因公出国（境）费支出0.00万元；公务用车购置及运行维护费支出12.03万元，占96.60%；公务接待费支出0.42万元，占3.40%。具体情况如下：</w:t>
      </w:r>
    </w:p>
    <w:p>
      <w:pPr>
        <w:adjustRightInd w:val="0"/>
        <w:spacing w:before="100" w:beforeAutospacing="1" w:after="100" w:afterAutospacing="1" w:line="580" w:lineRule="exact"/>
        <w:ind w:firstLine="600"/>
      </w:pPr>
      <w:r>
        <w:rPr>
          <w:rFonts w:hint="eastAsia" w:ascii="仿宋_GB2312" w:hAnsi="Times New Roman" w:eastAsia="仿宋_GB2312" w:cs="仿宋_GB2312"/>
          <w:b/>
          <w:bCs/>
          <w:sz w:val="32"/>
          <w:szCs w:val="32"/>
        </w:rPr>
        <w:t>因公出国（境）费支出</w:t>
      </w:r>
      <w:r>
        <w:rPr>
          <w:rFonts w:hint="eastAsia" w:ascii="仿宋_GB2312" w:hAnsi="Times New Roman" w:eastAsia="仿宋_GB2312" w:cs="仿宋_GB2312"/>
          <w:sz w:val="32"/>
          <w:szCs w:val="32"/>
        </w:rPr>
        <w:t>0.00万元。全年因公出国（境）团组0个，累计0人次，当年没有</w:t>
      </w:r>
      <w:r>
        <w:rPr>
          <w:rFonts w:hint="eastAsia" w:ascii="仿宋_GB2312" w:hAnsi="Times New Roman" w:eastAsia="仿宋_GB2312" w:cs="仿宋_GB2312"/>
          <w:bCs/>
          <w:sz w:val="32"/>
          <w:szCs w:val="32"/>
        </w:rPr>
        <w:t>因公出国（境）需求</w:t>
      </w:r>
      <w:r>
        <w:rPr>
          <w:rFonts w:hint="eastAsia" w:ascii="仿宋_GB2312" w:hAnsi="Times New Roman" w:eastAsia="仿宋_GB2312" w:cs="仿宋_GB2312"/>
          <w:sz w:val="32"/>
          <w:szCs w:val="32"/>
        </w:rPr>
        <w:t>。</w:t>
      </w:r>
    </w:p>
    <w:p>
      <w:pPr>
        <w:adjustRightInd w:val="0"/>
        <w:spacing w:before="100" w:beforeAutospacing="1" w:after="100" w:afterAutospacing="1" w:line="580" w:lineRule="exact"/>
        <w:ind w:right="-197" w:rightChars="-82" w:firstLine="600"/>
        <w:rPr>
          <w:rFonts w:ascii="仿宋_GB2312" w:hAnsi="Times New Roman" w:eastAsia="仿宋_GB2312" w:cs="仿宋_GB2312"/>
          <w:sz w:val="32"/>
          <w:szCs w:val="32"/>
        </w:rPr>
      </w:pPr>
      <w:r>
        <w:rPr>
          <w:rFonts w:hint="eastAsia" w:ascii="仿宋_GB2312" w:hAnsi="Times New Roman" w:eastAsia="仿宋_GB2312" w:cs="仿宋_GB2312"/>
          <w:b/>
          <w:bCs/>
          <w:sz w:val="32"/>
          <w:szCs w:val="32"/>
        </w:rPr>
        <w:t>公务用车购置及运行维护费支出</w:t>
      </w:r>
      <w:r>
        <w:rPr>
          <w:rFonts w:hint="eastAsia" w:ascii="仿宋_GB2312" w:hAnsi="Times New Roman" w:eastAsia="仿宋_GB2312" w:cs="仿宋_GB2312"/>
          <w:sz w:val="32"/>
          <w:szCs w:val="32"/>
        </w:rPr>
        <w:t>12.03万元。其中：公务用车购置支出0.00万元，当年没有购置公务用车</w:t>
      </w:r>
      <w:r>
        <w:rPr>
          <w:rFonts w:hint="eastAsia" w:eastAsia="仿宋_GB2312" w:cs="仿宋_GB2312" w:asciiTheme="minorHAnsi" w:hAnsiTheme="minorHAnsi"/>
          <w:sz w:val="32"/>
          <w:szCs w:val="32"/>
        </w:rPr>
        <w:t>。</w:t>
      </w:r>
      <w:r>
        <w:rPr>
          <w:rFonts w:hint="eastAsia" w:ascii="仿宋_GB2312" w:hAnsi="Times New Roman" w:eastAsia="仿宋_GB2312" w:cs="仿宋_GB2312"/>
          <w:sz w:val="32"/>
          <w:szCs w:val="32"/>
        </w:rPr>
        <w:t>公务用车运行维护费支出12.03万元，主要用于全市脱贫攻坚任务用车。车均运维费6.02万元，较上年</w:t>
      </w:r>
      <w:r>
        <w:rPr>
          <w:rFonts w:hint="eastAsia" w:ascii="仿宋_GB2312" w:hAnsi="Times New Roman" w:eastAsia="仿宋_GB2312" w:cs="仿宋_GB2312"/>
          <w:color w:val="000000" w:themeColor="text1"/>
          <w:sz w:val="32"/>
          <w:szCs w:val="32"/>
        </w:rPr>
        <w:t>增加</w:t>
      </w:r>
      <w:r>
        <w:rPr>
          <w:rFonts w:hint="eastAsia" w:ascii="仿宋_GB2312" w:hAnsi="Times New Roman" w:eastAsia="仿宋_GB2312" w:cs="仿宋_GB2312"/>
          <w:sz w:val="32"/>
          <w:szCs w:val="32"/>
        </w:rPr>
        <w:t>0.19万元，主要原因是脱贫攻坚任务需要下乡较多</w:t>
      </w:r>
      <w:r>
        <w:rPr>
          <w:rFonts w:hint="eastAsia" w:eastAsia="仿宋_GB2312" w:cs="仿宋_GB2312" w:asciiTheme="minorHAnsi" w:hAnsiTheme="minorHAnsi"/>
          <w:sz w:val="32"/>
          <w:szCs w:val="32"/>
        </w:rPr>
        <w:t>。</w:t>
      </w:r>
      <w:r>
        <w:rPr>
          <w:rFonts w:hint="eastAsia" w:ascii="仿宋_GB2312" w:hAnsi="Times New Roman" w:eastAsia="仿宋_GB2312" w:cs="仿宋_GB2312"/>
          <w:sz w:val="32"/>
          <w:szCs w:val="32"/>
        </w:rPr>
        <w:t>财政拨款开支的公务用车保有量为2辆。</w:t>
      </w:r>
    </w:p>
    <w:p>
      <w:pPr>
        <w:adjustRightInd w:val="0"/>
        <w:spacing w:before="100" w:beforeAutospacing="1" w:after="100" w:afterAutospacing="1" w:line="580" w:lineRule="exact"/>
        <w:ind w:right="-197" w:rightChars="-82" w:firstLine="600"/>
        <w:rPr>
          <w:rFonts w:ascii="仿宋_GB2312" w:hAnsi="Times New Roman" w:eastAsia="仿宋_GB2312" w:cs="仿宋_GB2312"/>
          <w:sz w:val="32"/>
          <w:szCs w:val="32"/>
        </w:rPr>
      </w:pPr>
      <w:r>
        <w:rPr>
          <w:rFonts w:hint="eastAsia" w:ascii="仿宋_GB2312" w:hAnsi="Times New Roman" w:eastAsia="仿宋_GB2312" w:cs="仿宋_GB2312"/>
          <w:b/>
          <w:sz w:val="32"/>
          <w:szCs w:val="32"/>
        </w:rPr>
        <w:t>公务接待费支出0.42万元。</w:t>
      </w:r>
      <w:r>
        <w:rPr>
          <w:rFonts w:hint="eastAsia" w:ascii="仿宋_GB2312" w:hAnsi="Times New Roman" w:eastAsia="仿宋_GB2312" w:cs="仿宋_GB2312"/>
          <w:sz w:val="32"/>
          <w:szCs w:val="32"/>
        </w:rPr>
        <w:t>其中：国内公务接待费0.42万元，接待6批次，共接待20人次。主要用于</w:t>
      </w:r>
      <w:r>
        <w:rPr>
          <w:rFonts w:ascii="仿宋_GB2312" w:hAnsi="Times New Roman" w:eastAsia="仿宋_GB2312" w:cs="仿宋_GB2312"/>
          <w:sz w:val="32"/>
          <w:szCs w:val="32"/>
        </w:rPr>
        <w:t>一是上级业务主管部门的指导监督检查</w:t>
      </w:r>
      <w:r>
        <w:rPr>
          <w:rFonts w:hint="eastAsia" w:eastAsia="仿宋_GB2312" w:cs="仿宋_GB2312" w:asciiTheme="minorHAnsi" w:hAnsiTheme="minorHAnsi"/>
          <w:sz w:val="32"/>
          <w:szCs w:val="32"/>
        </w:rPr>
        <w:t>调研</w:t>
      </w:r>
      <w:r>
        <w:rPr>
          <w:rFonts w:ascii="仿宋_GB2312" w:hAnsi="Times New Roman" w:eastAsia="仿宋_GB2312" w:cs="仿宋_GB2312"/>
          <w:sz w:val="32"/>
          <w:szCs w:val="32"/>
        </w:rPr>
        <w:t>等公务接待活动，二是旗（市区）扶贫</w:t>
      </w:r>
      <w:r>
        <w:rPr>
          <w:rFonts w:hint="eastAsia" w:ascii="仿宋_GB2312" w:hAnsi="Times New Roman" w:eastAsia="仿宋_GB2312" w:cs="仿宋_GB2312"/>
          <w:sz w:val="32"/>
          <w:szCs w:val="32"/>
        </w:rPr>
        <w:t>业务</w:t>
      </w:r>
      <w:r>
        <w:rPr>
          <w:rFonts w:ascii="仿宋_GB2312" w:hAnsi="Times New Roman" w:eastAsia="仿宋_GB2312" w:cs="仿宋_GB2312"/>
          <w:sz w:val="32"/>
          <w:szCs w:val="32"/>
        </w:rPr>
        <w:t>工作人员的公务接待活动</w:t>
      </w:r>
      <w:r>
        <w:rPr>
          <w:rFonts w:hint="eastAsia" w:ascii="仿宋_GB2312" w:hAnsi="Times New Roman" w:eastAsia="仿宋_GB2312" w:cs="仿宋_GB2312"/>
          <w:sz w:val="32"/>
          <w:szCs w:val="32"/>
        </w:rPr>
        <w:t>。国（境）外接待费0.00万元，接待0批次，共接待0人次，当年没有接待国（境）外人员。</w:t>
      </w:r>
    </w:p>
    <w:p>
      <w:pPr>
        <w:adjustRightInd w:val="0"/>
        <w:spacing w:before="100" w:beforeAutospacing="1" w:after="100" w:afterAutospacing="1" w:line="580" w:lineRule="exact"/>
        <w:ind w:firstLine="600"/>
        <w:rPr>
          <w:rFonts w:ascii="黑体" w:hAnsi="黑体" w:eastAsia="黑体"/>
          <w:b/>
        </w:rPr>
      </w:pPr>
      <w:r>
        <w:rPr>
          <w:rFonts w:hint="eastAsia" w:ascii="黑体" w:hAnsi="黑体" w:eastAsia="黑体" w:cs="仿宋_GB2312"/>
          <w:b/>
          <w:sz w:val="32"/>
          <w:szCs w:val="32"/>
        </w:rPr>
        <w:t>三、其他重要事项的情况说明</w:t>
      </w:r>
    </w:p>
    <w:p>
      <w:pPr>
        <w:adjustRightInd w:val="0"/>
        <w:spacing w:before="100" w:beforeAutospacing="1" w:after="100" w:afterAutospacing="1" w:line="580" w:lineRule="exact"/>
        <w:ind w:firstLine="600"/>
        <w:rPr>
          <w:rFonts w:ascii="楷体" w:hAnsi="楷体" w:eastAsia="楷体"/>
          <w:b/>
        </w:rPr>
      </w:pPr>
      <w:r>
        <w:rPr>
          <w:rFonts w:hint="eastAsia" w:ascii="楷体" w:hAnsi="楷体" w:eastAsia="楷体" w:cs="仿宋_GB2312"/>
          <w:b/>
          <w:sz w:val="32"/>
          <w:szCs w:val="32"/>
        </w:rPr>
        <w:t>（一）机关运行经费支出情况</w:t>
      </w:r>
    </w:p>
    <w:p>
      <w:pPr>
        <w:adjustRightInd w:val="0"/>
        <w:spacing w:before="100" w:beforeAutospacing="1" w:after="100" w:afterAutospacing="1" w:line="580" w:lineRule="exact"/>
        <w:ind w:firstLine="600"/>
        <w:rPr>
          <w:rFonts w:ascii="仿宋_GB2312" w:hAnsi="Times New Roman" w:eastAsia="仿宋_GB2312" w:cs="仿宋_GB2312"/>
          <w:sz w:val="32"/>
          <w:szCs w:val="32"/>
        </w:rPr>
      </w:pPr>
      <w:r>
        <w:rPr>
          <w:rFonts w:hint="eastAsia" w:ascii="仿宋_GB2312" w:hAnsi="Times New Roman" w:eastAsia="仿宋_GB2312" w:cs="仿宋_GB2312"/>
          <w:sz w:val="32"/>
          <w:szCs w:val="32"/>
        </w:rPr>
        <w:t>本部门2018年度机关运行经费支出243.92万元，比2017年增加204.44万元，增长517.80%。主要原因是：主要原因是：</w:t>
      </w:r>
      <w:r>
        <w:rPr>
          <w:rFonts w:hint="eastAsia" w:eastAsia="仿宋_GB2312" w:cs="仿宋_GB2312" w:asciiTheme="minorHAnsi" w:hAnsiTheme="minorHAnsi"/>
          <w:sz w:val="32"/>
          <w:szCs w:val="32"/>
          <w:lang w:eastAsia="zh-CN"/>
        </w:rPr>
        <w:t>财政拨款</w:t>
      </w:r>
      <w:r>
        <w:rPr>
          <w:rFonts w:hint="eastAsia" w:eastAsia="仿宋_GB2312" w:cs="仿宋_GB2312" w:asciiTheme="minorHAnsi" w:hAnsiTheme="minorHAnsi"/>
          <w:sz w:val="32"/>
          <w:szCs w:val="32"/>
        </w:rPr>
        <w:t>基本支出上年结转较大</w:t>
      </w:r>
      <w:r>
        <w:rPr>
          <w:rFonts w:hint="eastAsia" w:ascii="仿宋_GB2312" w:hAnsi="Times New Roman" w:eastAsia="仿宋_GB2312" w:cs="仿宋_GB2312"/>
          <w:sz w:val="32"/>
          <w:szCs w:val="32"/>
        </w:rPr>
        <w:t>。</w:t>
      </w:r>
    </w:p>
    <w:p>
      <w:pPr>
        <w:adjustRightInd w:val="0"/>
        <w:spacing w:before="100" w:beforeAutospacing="1" w:after="100" w:afterAutospacing="1" w:line="580" w:lineRule="exact"/>
        <w:ind w:firstLine="600"/>
        <w:rPr>
          <w:rFonts w:ascii="仿宋_GB2312" w:hAnsi="Times New Roman" w:eastAsia="仿宋_GB2312" w:cs="仿宋_GB2312"/>
          <w:sz w:val="32"/>
          <w:szCs w:val="32"/>
        </w:rPr>
      </w:pPr>
      <w:r>
        <w:rPr>
          <w:rFonts w:hint="eastAsia" w:ascii="楷体" w:hAnsi="楷体" w:eastAsia="楷体" w:cs="仿宋_GB2312"/>
          <w:b/>
          <w:sz w:val="32"/>
          <w:szCs w:val="32"/>
        </w:rPr>
        <w:t>（二）政府采购支出情况</w:t>
      </w:r>
      <w:r>
        <w:rPr>
          <w:rFonts w:ascii="楷体" w:hAnsi="楷体" w:eastAsia="楷体" w:cs="仿宋_GB2312"/>
          <w:b/>
          <w:sz w:val="32"/>
          <w:szCs w:val="32"/>
        </w:rPr>
        <w:t>:</w:t>
      </w:r>
      <w:r>
        <w:rPr>
          <w:rFonts w:hint="eastAsia" w:ascii="仿宋_GB2312" w:hAnsi="Times New Roman" w:eastAsia="仿宋_GB2312" w:cs="仿宋_GB2312"/>
          <w:sz w:val="32"/>
          <w:szCs w:val="32"/>
        </w:rPr>
        <w:t>本部门2018年度财政性资金政府采购支出总额20.29万元，</w:t>
      </w:r>
      <w:r>
        <w:rPr>
          <w:rFonts w:hint="default" w:ascii="仿宋_GB2312" w:hAnsi="Times New Roman" w:eastAsia="仿宋_GB2312" w:cs="仿宋_GB2312"/>
          <w:sz w:val="32"/>
          <w:szCs w:val="32"/>
        </w:rPr>
        <w:t>其中：</w:t>
      </w:r>
      <w:r>
        <w:rPr>
          <w:rFonts w:hint="eastAsia" w:ascii="仿宋_GB2312" w:hAnsi="Times New Roman" w:eastAsia="仿宋_GB2312" w:cs="仿宋_GB2312"/>
          <w:sz w:val="32"/>
          <w:szCs w:val="32"/>
        </w:rPr>
        <w:t>政府采购货物支出12.84万元，比2017年减少32.42万元，降低71.60%，主要原因是：采购需求没上年大；政府采购服务支出7.45万元，比2017年增加7.45万元，增长100.00%，主要原因是：上年没有政府采购服务需求。</w:t>
      </w:r>
    </w:p>
    <w:p>
      <w:pPr>
        <w:adjustRightInd w:val="0"/>
        <w:spacing w:before="100" w:beforeAutospacing="1" w:after="100" w:afterAutospacing="1" w:line="580" w:lineRule="exact"/>
        <w:ind w:firstLine="600"/>
        <w:rPr>
          <w:rFonts w:ascii="仿宋_GB2312" w:hAnsi="Times New Roman" w:eastAsia="仿宋_GB2312" w:cs="仿宋_GB2312"/>
          <w:sz w:val="32"/>
          <w:szCs w:val="32"/>
        </w:rPr>
      </w:pPr>
      <w:r>
        <w:rPr>
          <w:rFonts w:hint="eastAsia" w:ascii="仿宋_GB2312" w:hAnsi="Times New Roman" w:eastAsia="仿宋_GB2312" w:cs="仿宋_GB2312"/>
          <w:sz w:val="32"/>
          <w:szCs w:val="32"/>
        </w:rPr>
        <w:t>（</w:t>
      </w:r>
      <w:r>
        <w:rPr>
          <w:rFonts w:hint="eastAsia" w:ascii="楷体" w:hAnsi="楷体" w:eastAsia="楷体" w:cs="仿宋_GB2312"/>
          <w:b/>
          <w:sz w:val="32"/>
          <w:szCs w:val="32"/>
        </w:rPr>
        <w:t>三）国有资产占用情况</w:t>
      </w:r>
      <w:r>
        <w:rPr>
          <w:rFonts w:ascii="楷体" w:hAnsi="楷体" w:eastAsia="楷体" w:cs="仿宋_GB2312"/>
          <w:b/>
          <w:sz w:val="32"/>
          <w:szCs w:val="32"/>
        </w:rPr>
        <w:t>:</w:t>
      </w:r>
      <w:r>
        <w:rPr>
          <w:rFonts w:hint="eastAsia" w:ascii="仿宋_GB2312" w:hAnsi="Times New Roman" w:eastAsia="仿宋_GB2312" w:cs="仿宋_GB2312"/>
          <w:sz w:val="32"/>
          <w:szCs w:val="32"/>
        </w:rPr>
        <w:t>截至2018年12月31日，本部门共有车辆2辆，机要通信用车2辆，主要用于：单位机要通信用车。</w:t>
      </w:r>
    </w:p>
    <w:p>
      <w:pPr>
        <w:adjustRightInd w:val="0"/>
        <w:spacing w:before="100" w:beforeAutospacing="1" w:after="100" w:afterAutospacing="1" w:line="580" w:lineRule="exact"/>
        <w:ind w:firstLine="600"/>
        <w:rPr>
          <w:rFonts w:ascii="楷体" w:hAnsi="楷体" w:eastAsia="楷体" w:cs="仿宋_GB2312"/>
          <w:b/>
          <w:sz w:val="32"/>
          <w:szCs w:val="32"/>
        </w:rPr>
      </w:pPr>
      <w:r>
        <w:rPr>
          <w:rFonts w:hint="eastAsia" w:ascii="楷体" w:hAnsi="楷体" w:eastAsia="楷体" w:cs="仿宋_GB2312"/>
          <w:b/>
          <w:sz w:val="32"/>
          <w:szCs w:val="32"/>
        </w:rPr>
        <w:t>（四）预算绩效管理工作开展情况</w:t>
      </w:r>
    </w:p>
    <w:p>
      <w:pPr>
        <w:ind w:right="-197" w:rightChars="-82"/>
      </w:pPr>
      <w:r>
        <w:rPr>
          <w:rFonts w:hint="eastAsia" w:ascii="仿宋" w:hAnsi="仿宋" w:eastAsia="仿宋" w:cs="仿宋"/>
          <w:sz w:val="32"/>
          <w:szCs w:val="32"/>
        </w:rPr>
        <w:t xml:space="preserve">   2018年纳预算绩效管理的扶贫项目资金24100万元,主要内容为拨付产业扶贫基金10600万元、产业发展扶贫资金6159万元、健康扶贫资金1500万元、投入其他资金5841万元,其中产业扶贫基金10600万元由呼伦贝尔农牧业产业扶贫发展基金管理使用，健康扶贫资金1500万元由市卫计委管理使用。</w:t>
      </w:r>
    </w:p>
    <w:p>
      <w:pPr>
        <w:adjustRightInd w:val="0"/>
        <w:spacing w:before="100" w:beforeAutospacing="1" w:after="100" w:afterAutospacing="1" w:line="580" w:lineRule="exact"/>
        <w:ind w:firstLine="600"/>
        <w:rPr>
          <w:rFonts w:ascii="仿宋" w:hAnsi="仿宋" w:eastAsia="仿宋" w:cs="仿宋"/>
          <w:sz w:val="32"/>
          <w:szCs w:val="32"/>
        </w:rPr>
      </w:pPr>
      <w:r>
        <w:rPr>
          <w:rFonts w:hint="eastAsia" w:ascii="仿宋" w:hAnsi="仿宋" w:eastAsia="仿宋"/>
          <w:b/>
          <w:sz w:val="32"/>
          <w:szCs w:val="32"/>
        </w:rPr>
        <w:t>1</w:t>
      </w:r>
      <w:r>
        <w:rPr>
          <w:rFonts w:hint="eastAsia"/>
          <w:b/>
        </w:rPr>
        <w:t>、</w:t>
      </w:r>
      <w:r>
        <w:rPr>
          <w:rFonts w:hint="eastAsia" w:ascii="仿宋" w:hAnsi="仿宋" w:eastAsia="仿宋" w:cs="仿宋"/>
          <w:b/>
          <w:sz w:val="32"/>
          <w:szCs w:val="32"/>
        </w:rPr>
        <w:t>项目年度预算绩效目标和绩效指标设定情况</w:t>
      </w:r>
    </w:p>
    <w:p>
      <w:pPr>
        <w:adjustRightInd w:val="0"/>
        <w:spacing w:before="100" w:beforeAutospacing="1" w:after="100" w:afterAutospacing="1" w:line="580" w:lineRule="exact"/>
        <w:ind w:right="-197" w:rightChars="-82" w:firstLine="600"/>
        <w:rPr>
          <w:rFonts w:ascii="仿宋" w:hAnsi="仿宋" w:eastAsia="仿宋" w:cs="仿宋"/>
          <w:sz w:val="32"/>
          <w:szCs w:val="32"/>
        </w:rPr>
      </w:pPr>
      <w:r>
        <w:rPr>
          <w:rFonts w:hint="eastAsia" w:ascii="仿宋" w:hAnsi="仿宋" w:eastAsia="仿宋" w:cs="仿宋"/>
          <w:sz w:val="32"/>
          <w:szCs w:val="32"/>
        </w:rPr>
        <w:t>产出数量指标为拨付产业扶贫基金10600万元、产业发展扶贫资金6159万元、健康扶贫资金1500万元、投入其他资金5841万元，预期目标完成拨付；产出质量指标为按照拨付类型专款专用率100%，预计目标转款专用率100%；时效指标为按时拨付资金率100%，预计目标按时拨付资金率100%；经济效益指标为产业发展扶贫资金覆盖8500人平均增加贫困户收入2000元；健康扶贫资金覆盖21056人用于建档立卡贫困人员城乡居民医疗保险个人缴费补贴、大病医疗救助兜底保障；其他扶贫资金保障我市精准扶贫工作有序进行，预计目标达到标准；社会效益指标为解决大多数人口产业脱贫和持续增收、解决脱贫人口脱贫、贫困村摘帽，预计目标解决大多数人口产业脱贫和持续增收、解决脱贫人口脱贫、贫困村摘帽；可持续影响指标为壮大村集体经济，持续为精准脱贫工作提供保障，预计目标壮大村集体经济，持续为精准脱贫工作提供保障。</w:t>
      </w:r>
    </w:p>
    <w:p>
      <w:pPr>
        <w:adjustRightInd w:val="0"/>
        <w:spacing w:before="100" w:beforeAutospacing="1" w:after="100" w:afterAutospacing="1" w:line="580" w:lineRule="exact"/>
        <w:ind w:firstLine="600"/>
        <w:rPr>
          <w:rFonts w:ascii="仿宋" w:hAnsi="仿宋" w:eastAsia="仿宋"/>
          <w:b/>
          <w:sz w:val="32"/>
          <w:szCs w:val="32"/>
        </w:rPr>
      </w:pPr>
      <w:r>
        <w:rPr>
          <w:rFonts w:ascii="仿宋" w:hAnsi="仿宋" w:eastAsia="仿宋" w:cs="仿宋"/>
          <w:b/>
          <w:sz w:val="32"/>
          <w:szCs w:val="32"/>
        </w:rPr>
        <w:t xml:space="preserve"> </w:t>
      </w:r>
      <w:r>
        <w:rPr>
          <w:rFonts w:hint="eastAsia" w:ascii="仿宋" w:hAnsi="仿宋" w:eastAsia="仿宋" w:cs="仿宋"/>
          <w:b/>
          <w:sz w:val="32"/>
          <w:szCs w:val="32"/>
        </w:rPr>
        <w:t>2、项目组织实施情况</w:t>
      </w:r>
    </w:p>
    <w:p>
      <w:pPr>
        <w:rPr>
          <w:rFonts w:ascii="仿宋" w:hAnsi="仿宋" w:eastAsia="仿宋"/>
          <w:sz w:val="32"/>
          <w:szCs w:val="32"/>
        </w:rPr>
      </w:pPr>
      <w:r>
        <w:rPr>
          <w:rFonts w:ascii="仿宋" w:hAnsi="仿宋" w:eastAsia="仿宋" w:cs="仿宋"/>
          <w:sz w:val="32"/>
          <w:szCs w:val="32"/>
        </w:rPr>
        <w:t xml:space="preserve">    </w:t>
      </w:r>
      <w:r>
        <w:rPr>
          <w:rFonts w:hint="eastAsia" w:ascii="仿宋" w:hAnsi="仿宋" w:eastAsia="仿宋" w:cs="仿宋"/>
          <w:sz w:val="32"/>
          <w:szCs w:val="32"/>
        </w:rPr>
        <w:t>项目组织情况：市本级资金24100万元已全部拨付。</w:t>
      </w:r>
    </w:p>
    <w:p>
      <w:pPr>
        <w:rPr>
          <w:rFonts w:ascii="仿宋" w:hAnsi="仿宋" w:eastAsia="仿宋" w:cs="仿宋"/>
          <w:sz w:val="32"/>
          <w:szCs w:val="32"/>
        </w:rPr>
      </w:pPr>
      <w:r>
        <w:rPr>
          <w:rFonts w:ascii="仿宋" w:hAnsi="仿宋" w:eastAsia="仿宋" w:cs="仿宋"/>
          <w:sz w:val="32"/>
          <w:szCs w:val="32"/>
        </w:rPr>
        <w:t xml:space="preserve">    </w:t>
      </w:r>
      <w:r>
        <w:rPr>
          <w:rFonts w:hint="eastAsia" w:ascii="仿宋" w:hAnsi="仿宋" w:eastAsia="仿宋" w:cs="仿宋"/>
          <w:sz w:val="32"/>
          <w:szCs w:val="32"/>
        </w:rPr>
        <w:t>项目管理情况：开展旗市区资金专项督查，按照2018年市本级财政专项扶贫资金分配方案督查检查。</w:t>
      </w:r>
      <w:r>
        <w:rPr>
          <w:rFonts w:ascii="仿宋" w:hAnsi="仿宋" w:eastAsia="仿宋" w:cs="仿宋"/>
          <w:sz w:val="32"/>
          <w:szCs w:val="32"/>
        </w:rPr>
        <w:t xml:space="preserve">   </w:t>
      </w:r>
    </w:p>
    <w:p>
      <w:pPr>
        <w:rPr>
          <w:rFonts w:ascii="仿宋" w:hAnsi="仿宋" w:eastAsia="仿宋"/>
          <w:b/>
          <w:sz w:val="32"/>
          <w:szCs w:val="32"/>
        </w:rPr>
      </w:pPr>
      <w:r>
        <w:rPr>
          <w:rFonts w:hint="eastAsia" w:ascii="仿宋" w:hAnsi="仿宋" w:eastAsia="仿宋" w:cs="仿宋"/>
          <w:sz w:val="32"/>
          <w:szCs w:val="32"/>
        </w:rPr>
        <w:t xml:space="preserve">   </w:t>
      </w:r>
      <w:r>
        <w:rPr>
          <w:rFonts w:hint="eastAsia" w:ascii="仿宋" w:hAnsi="仿宋" w:eastAsia="仿宋" w:cs="仿宋"/>
          <w:b/>
          <w:sz w:val="32"/>
          <w:szCs w:val="32"/>
        </w:rPr>
        <w:t xml:space="preserve"> 3、项目绩效情况</w:t>
      </w:r>
    </w:p>
    <w:p>
      <w:r>
        <w:rPr>
          <w:rFonts w:ascii="仿宋" w:hAnsi="仿宋" w:eastAsia="仿宋" w:cs="仿宋"/>
          <w:sz w:val="32"/>
          <w:szCs w:val="32"/>
        </w:rPr>
        <w:t xml:space="preserve">    </w:t>
      </w:r>
      <w:r>
        <w:rPr>
          <w:rFonts w:hint="eastAsia" w:ascii="仿宋" w:hAnsi="仿宋" w:eastAsia="仿宋" w:cs="仿宋"/>
          <w:sz w:val="32"/>
          <w:szCs w:val="32"/>
        </w:rPr>
        <w:t>项目绩效目标完成情况：全部达到预期目标。</w:t>
      </w:r>
    </w:p>
    <w:p>
      <w:pPr>
        <w:adjustRightInd w:val="0"/>
        <w:spacing w:before="100" w:beforeAutospacing="1" w:after="100" w:afterAutospacing="1" w:line="580" w:lineRule="exact"/>
        <w:ind w:firstLine="600"/>
        <w:jc w:val="center"/>
        <w:rPr>
          <w:rFonts w:ascii="黑体" w:hAnsi="黑体" w:eastAsia="黑体"/>
        </w:rPr>
      </w:pPr>
      <w:r>
        <w:rPr>
          <w:rFonts w:hint="eastAsia" w:ascii="黑体" w:hAnsi="黑体" w:eastAsia="黑体" w:cs="仿宋_GB2312"/>
          <w:b/>
          <w:bCs/>
          <w:sz w:val="32"/>
          <w:szCs w:val="32"/>
        </w:rPr>
        <w:t>第三部分 名词解释</w:t>
      </w:r>
    </w:p>
    <w:p>
      <w:pPr>
        <w:adjustRightInd w:val="0"/>
        <w:spacing w:before="100" w:beforeAutospacing="1" w:after="100" w:afterAutospacing="1" w:line="580" w:lineRule="exact"/>
        <w:ind w:right="-197" w:rightChars="-82" w:firstLine="600"/>
      </w:pPr>
      <w:r>
        <w:rPr>
          <w:rFonts w:hint="eastAsia" w:ascii="楷体" w:hAnsi="楷体" w:eastAsia="楷体" w:cs="仿宋_GB2312"/>
          <w:sz w:val="32"/>
          <w:szCs w:val="32"/>
        </w:rPr>
        <w:t>（一）财政拨款收入</w:t>
      </w:r>
      <w:r>
        <w:rPr>
          <w:rFonts w:hint="eastAsia" w:ascii="仿宋_GB2312" w:hAnsi="Times New Roman" w:eastAsia="仿宋_GB2312" w:cs="仿宋_GB2312"/>
          <w:sz w:val="32"/>
          <w:szCs w:val="32"/>
        </w:rPr>
        <w:t>：指本年度从本级财政部门取得的财政拨款，包括一般公共预算财政拨款和政府性基金预算财政拨款。</w:t>
      </w:r>
    </w:p>
    <w:p>
      <w:pPr>
        <w:adjustRightInd w:val="0"/>
        <w:spacing w:before="100" w:beforeAutospacing="1" w:after="100" w:afterAutospacing="1" w:line="580" w:lineRule="exact"/>
        <w:ind w:right="-197" w:rightChars="-82" w:firstLine="600"/>
      </w:pPr>
      <w:r>
        <w:rPr>
          <w:rFonts w:hint="eastAsia" w:ascii="楷体" w:hAnsi="楷体" w:eastAsia="楷体" w:cs="仿宋_GB2312"/>
          <w:sz w:val="32"/>
          <w:szCs w:val="32"/>
        </w:rPr>
        <w:t>（二）事业收入：</w:t>
      </w:r>
      <w:r>
        <w:rPr>
          <w:rFonts w:hint="eastAsia" w:ascii="仿宋_GB2312" w:hAnsi="Times New Roman" w:eastAsia="仿宋_GB2312" w:cs="仿宋_GB2312"/>
          <w:sz w:val="32"/>
          <w:szCs w:val="32"/>
        </w:rPr>
        <w:t>指事业单位开展专业业务活动及其辅助活动取得的收入；事业单位收到的财政专户实际核拨的教育收费等资金在此反映。</w:t>
      </w:r>
    </w:p>
    <w:p>
      <w:pPr>
        <w:adjustRightInd w:val="0"/>
        <w:spacing w:before="100" w:beforeAutospacing="1" w:after="100" w:afterAutospacing="1" w:line="580" w:lineRule="exact"/>
        <w:ind w:firstLine="600"/>
      </w:pPr>
      <w:r>
        <w:rPr>
          <w:rFonts w:hint="eastAsia" w:ascii="楷体" w:hAnsi="楷体" w:eastAsia="楷体" w:cs="仿宋_GB2312"/>
          <w:sz w:val="32"/>
          <w:szCs w:val="32"/>
        </w:rPr>
        <w:t>（三）经营收入</w:t>
      </w:r>
      <w:r>
        <w:rPr>
          <w:rFonts w:hint="eastAsia" w:ascii="仿宋_GB2312" w:hAnsi="Times New Roman" w:eastAsia="仿宋_GB2312" w:cs="仿宋_GB2312"/>
          <w:sz w:val="32"/>
          <w:szCs w:val="32"/>
        </w:rPr>
        <w:t>：指事业单位在专业业务活动及其辅助活动之外开展非独立核算经营活动取得的收入。</w:t>
      </w:r>
    </w:p>
    <w:p>
      <w:pPr>
        <w:adjustRightInd w:val="0"/>
        <w:spacing w:before="100" w:beforeAutospacing="1" w:after="100" w:afterAutospacing="1" w:line="580" w:lineRule="exact"/>
        <w:ind w:right="-197" w:rightChars="-82" w:firstLine="600"/>
      </w:pPr>
      <w:r>
        <w:rPr>
          <w:rFonts w:hint="eastAsia" w:ascii="楷体" w:hAnsi="楷体" w:eastAsia="楷体" w:cs="仿宋_GB2312"/>
          <w:sz w:val="32"/>
          <w:szCs w:val="32"/>
        </w:rPr>
        <w:t>（四）其他收入</w:t>
      </w:r>
      <w:r>
        <w:rPr>
          <w:rFonts w:hint="eastAsia" w:ascii="仿宋_GB2312" w:hAnsi="Times New Roman" w:eastAsia="仿宋_GB2312" w:cs="仿宋_GB2312"/>
          <w:sz w:val="32"/>
          <w:szCs w:val="32"/>
        </w:rPr>
        <w:t>：指单位取得的除“财政拨款收入”、“事业收入”、“经营收入”等以外的收入，包括未纳入财政预算或财政专户管理的投资收益、银行存款利息收入、租金收入、捐赠收入，现金盘盈收入、存货盘盈收入、收回已核销的应收及预付款项、无法偿付的应付及预收款项等。各单位从本级财政部门以外的同级单位取得的经费、从非本级财政部门取得的经费，以及行政单位收到的财政专户管理资金填列在本项内。</w:t>
      </w:r>
    </w:p>
    <w:p>
      <w:pPr>
        <w:adjustRightInd w:val="0"/>
        <w:spacing w:before="100" w:beforeAutospacing="1" w:after="100" w:afterAutospacing="1" w:line="580" w:lineRule="exact"/>
        <w:ind w:right="-197" w:rightChars="-82" w:firstLine="600"/>
      </w:pPr>
      <w:r>
        <w:rPr>
          <w:rFonts w:hint="eastAsia" w:ascii="楷体" w:hAnsi="楷体" w:eastAsia="楷体" w:cs="仿宋_GB2312"/>
          <w:sz w:val="32"/>
          <w:szCs w:val="32"/>
        </w:rPr>
        <w:t>（五）用事业基金弥补收支差额</w:t>
      </w:r>
      <w:r>
        <w:rPr>
          <w:rFonts w:hint="eastAsia" w:ascii="仿宋_GB2312" w:hAnsi="Times New Roman" w:eastAsia="仿宋_GB2312" w:cs="仿宋_GB2312"/>
          <w:sz w:val="32"/>
          <w:szCs w:val="32"/>
        </w:rPr>
        <w:t>：指事业单位在当年的“财政拨款收入”、“事业收入”、“经营收入”、“其他收入”等不足以安排当年支出的情况下，使用以前年度积累的事业基金（事业单位当年收支相抵后按国家规定提取、用于弥补以后年度收支差额的基金）弥补本年度收支缺口的资金。</w:t>
      </w:r>
    </w:p>
    <w:p>
      <w:pPr>
        <w:adjustRightInd w:val="0"/>
        <w:spacing w:before="100" w:beforeAutospacing="1" w:after="100" w:afterAutospacing="1" w:line="580" w:lineRule="exact"/>
        <w:ind w:right="-197" w:rightChars="-82" w:firstLine="600"/>
      </w:pPr>
      <w:r>
        <w:rPr>
          <w:rFonts w:hint="eastAsia" w:ascii="楷体" w:hAnsi="楷体" w:eastAsia="楷体" w:cs="仿宋_GB2312"/>
          <w:sz w:val="32"/>
          <w:szCs w:val="32"/>
        </w:rPr>
        <w:t>（六）年初结转和结余</w:t>
      </w:r>
      <w:r>
        <w:rPr>
          <w:rFonts w:hint="eastAsia" w:ascii="仿宋_GB2312" w:hAnsi="Times New Roman" w:eastAsia="仿宋_GB2312" w:cs="仿宋_GB2312"/>
          <w:sz w:val="32"/>
          <w:szCs w:val="32"/>
        </w:rPr>
        <w:t>：指单位上年结转本年使用的基本支出结转、项目支出结转和结余、经营结余。不包括事业单位净资产项下的事业基金和专用基金。</w:t>
      </w:r>
    </w:p>
    <w:p>
      <w:pPr>
        <w:adjustRightInd w:val="0"/>
        <w:spacing w:before="100" w:beforeAutospacing="1" w:after="100" w:afterAutospacing="1" w:line="580" w:lineRule="exact"/>
        <w:ind w:firstLine="600"/>
      </w:pPr>
      <w:r>
        <w:rPr>
          <w:rFonts w:hint="eastAsia" w:ascii="楷体" w:hAnsi="楷体" w:eastAsia="楷体" w:cs="仿宋_GB2312"/>
          <w:sz w:val="32"/>
          <w:szCs w:val="32"/>
        </w:rPr>
        <w:t>（七）结余分配</w:t>
      </w:r>
      <w:r>
        <w:rPr>
          <w:rFonts w:hint="eastAsia" w:ascii="仿宋_GB2312" w:hAnsi="Times New Roman" w:eastAsia="仿宋_GB2312" w:cs="仿宋_GB2312"/>
          <w:sz w:val="32"/>
          <w:szCs w:val="32"/>
        </w:rPr>
        <w:t>：指单位当年结余的分配情况。根据《关于事业单位提取专用基金比例问题的通知》（财教[2012]32号）规定，事业单位职工福利基金的提取比例，在单位年度非财政拨款结余的40%以内确定，国家另有规定的从其规定。</w:t>
      </w:r>
    </w:p>
    <w:p>
      <w:pPr>
        <w:adjustRightInd w:val="0"/>
        <w:spacing w:before="100" w:beforeAutospacing="1" w:after="100" w:afterAutospacing="1" w:line="580" w:lineRule="exact"/>
        <w:ind w:right="-197" w:rightChars="-82" w:firstLine="600"/>
      </w:pPr>
      <w:r>
        <w:rPr>
          <w:rFonts w:hint="eastAsia" w:ascii="楷体" w:hAnsi="楷体" w:eastAsia="楷体" w:cs="仿宋_GB2312"/>
          <w:sz w:val="32"/>
          <w:szCs w:val="32"/>
        </w:rPr>
        <w:t>（八）年末结转和结余</w:t>
      </w:r>
      <w:r>
        <w:rPr>
          <w:rFonts w:hint="eastAsia" w:ascii="仿宋_GB2312" w:hAnsi="Times New Roman" w:eastAsia="仿宋_GB2312" w:cs="仿宋_GB2312"/>
          <w:sz w:val="32"/>
          <w:szCs w:val="32"/>
        </w:rPr>
        <w:t>：指单位结转下年的基本支出结转、项目支出结转和结余、经营结余。不包括事业单位净资产项下的事业基金和专用基金。</w:t>
      </w:r>
    </w:p>
    <w:p>
      <w:pPr>
        <w:adjustRightInd w:val="0"/>
        <w:spacing w:before="100" w:beforeAutospacing="1" w:after="100" w:afterAutospacing="1" w:line="580" w:lineRule="exact"/>
        <w:ind w:right="-197" w:rightChars="-82" w:firstLine="600"/>
      </w:pPr>
      <w:r>
        <w:rPr>
          <w:rFonts w:hint="eastAsia" w:ascii="楷体" w:hAnsi="楷体" w:eastAsia="楷体" w:cs="仿宋_GB2312"/>
          <w:sz w:val="32"/>
          <w:szCs w:val="32"/>
        </w:rPr>
        <w:t>（九）基本支出</w:t>
      </w:r>
      <w:r>
        <w:rPr>
          <w:rFonts w:hint="eastAsia" w:ascii="仿宋_GB2312" w:hAnsi="Times New Roman" w:eastAsia="仿宋_GB2312" w:cs="仿宋_GB2312"/>
          <w:sz w:val="32"/>
          <w:szCs w:val="32"/>
        </w:rPr>
        <w:t>：指为保障机构正常运转、完成日常工作任务而发生的人员经费和公用经费。其中：人员经费指政府收支分类经济科目中的“工资福利支出”和“对个人和家庭的补助”；公用经费指政府收支分类经济科目中除“工资福利支出”和“对个人和家庭的补助”外的其他支出。</w:t>
      </w:r>
    </w:p>
    <w:p>
      <w:pPr>
        <w:adjustRightInd w:val="0"/>
        <w:spacing w:before="100" w:beforeAutospacing="1" w:after="100" w:afterAutospacing="1" w:line="580" w:lineRule="exact"/>
        <w:ind w:firstLine="600"/>
      </w:pPr>
      <w:r>
        <w:rPr>
          <w:rFonts w:hint="eastAsia" w:ascii="楷体" w:hAnsi="楷体" w:eastAsia="楷体" w:cs="仿宋_GB2312"/>
          <w:sz w:val="32"/>
          <w:szCs w:val="32"/>
        </w:rPr>
        <w:t>（十）项目支出</w:t>
      </w:r>
      <w:r>
        <w:rPr>
          <w:rFonts w:hint="eastAsia" w:ascii="仿宋_GB2312" w:hAnsi="Times New Roman" w:eastAsia="仿宋_GB2312" w:cs="仿宋_GB2312"/>
          <w:sz w:val="32"/>
          <w:szCs w:val="32"/>
        </w:rPr>
        <w:t>：指在基本支出之外为完成特定行政任务和事业发展目标所发生的支出。</w:t>
      </w:r>
    </w:p>
    <w:p>
      <w:pPr>
        <w:adjustRightInd w:val="0"/>
        <w:spacing w:before="100" w:beforeAutospacing="1" w:after="100" w:afterAutospacing="1" w:line="580" w:lineRule="exact"/>
        <w:ind w:firstLine="600"/>
      </w:pPr>
      <w:r>
        <w:rPr>
          <w:rFonts w:hint="eastAsia" w:ascii="楷体" w:hAnsi="楷体" w:eastAsia="楷体" w:cs="仿宋_GB2312"/>
          <w:sz w:val="32"/>
          <w:szCs w:val="32"/>
        </w:rPr>
        <w:t>（十一）经营支出</w:t>
      </w:r>
      <w:r>
        <w:rPr>
          <w:rFonts w:hint="eastAsia" w:ascii="仿宋_GB2312" w:hAnsi="Times New Roman" w:eastAsia="仿宋_GB2312" w:cs="仿宋_GB2312"/>
          <w:sz w:val="32"/>
          <w:szCs w:val="32"/>
        </w:rPr>
        <w:t>：指事业单位在专业业务活动及其辅助活动之外开展非独立核算经营活动发生的支出。</w:t>
      </w:r>
    </w:p>
    <w:p>
      <w:pPr>
        <w:adjustRightInd w:val="0"/>
        <w:spacing w:before="100" w:beforeAutospacing="1" w:after="100" w:afterAutospacing="1" w:line="580" w:lineRule="exact"/>
        <w:ind w:right="-197" w:rightChars="-82" w:firstLine="600"/>
      </w:pPr>
      <w:r>
        <w:rPr>
          <w:rFonts w:hint="eastAsia" w:ascii="楷体" w:hAnsi="楷体" w:eastAsia="楷体" w:cs="仿宋_GB2312"/>
          <w:sz w:val="32"/>
          <w:szCs w:val="32"/>
        </w:rPr>
        <w:t>（十二）</w:t>
      </w:r>
      <w:r>
        <w:rPr>
          <w:rFonts w:ascii="楷体" w:hAnsi="楷体" w:eastAsia="楷体" w:cs="仿宋_GB2312"/>
          <w:sz w:val="32"/>
          <w:szCs w:val="32"/>
        </w:rPr>
        <w:t>“</w:t>
      </w:r>
      <w:r>
        <w:rPr>
          <w:rFonts w:hint="eastAsia" w:ascii="楷体" w:hAnsi="楷体" w:eastAsia="楷体" w:cs="仿宋_GB2312"/>
          <w:sz w:val="32"/>
          <w:szCs w:val="32"/>
        </w:rPr>
        <w:t>三公</w:t>
      </w:r>
      <w:r>
        <w:rPr>
          <w:rFonts w:ascii="楷体" w:hAnsi="楷体" w:eastAsia="楷体" w:cs="仿宋_GB2312"/>
          <w:sz w:val="32"/>
          <w:szCs w:val="32"/>
        </w:rPr>
        <w:t>”</w:t>
      </w:r>
      <w:r>
        <w:rPr>
          <w:rFonts w:hint="eastAsia" w:ascii="楷体" w:hAnsi="楷体" w:eastAsia="楷体" w:cs="仿宋_GB2312"/>
          <w:sz w:val="32"/>
          <w:szCs w:val="32"/>
        </w:rPr>
        <w:t>经费</w:t>
      </w:r>
      <w:r>
        <w:rPr>
          <w:rFonts w:hint="eastAsia" w:ascii="仿宋_GB2312" w:hAnsi="Times New Roman" w:eastAsia="仿宋_GB2312" w:cs="仿宋_GB2312"/>
          <w:sz w:val="32"/>
          <w:szCs w:val="32"/>
        </w:rPr>
        <w:t>：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adjustRightInd w:val="0"/>
        <w:snapToGrid w:val="0"/>
        <w:spacing w:before="100" w:beforeAutospacing="1" w:after="100" w:afterAutospacing="1" w:line="360" w:lineRule="auto"/>
        <w:ind w:right="-197" w:rightChars="-82" w:firstLine="601"/>
      </w:pPr>
      <w:r>
        <w:rPr>
          <w:rFonts w:hint="eastAsia" w:ascii="楷体" w:hAnsi="楷体" w:eastAsia="楷体" w:cs="仿宋_GB2312"/>
          <w:sz w:val="32"/>
          <w:szCs w:val="32"/>
        </w:rPr>
        <w:t>（十三）机关运行经费</w:t>
      </w:r>
      <w:r>
        <w:rPr>
          <w:rFonts w:hint="eastAsia" w:ascii="仿宋_GB2312" w:hAnsi="Times New Roman" w:eastAsia="仿宋_GB2312" w:cs="仿宋_GB2312"/>
          <w:sz w:val="32"/>
          <w:szCs w:val="32"/>
        </w:rPr>
        <w:t>：为保障行政单位（含参照公务员法管理的事业单位）运行用于购买货物和服务等的各项公用经费，包括办公及印刷费、邮电费、差旅费、会议费、福利费、日常维护费、专用材料及一般设备购置费、办公用房水电费、办公用房取暖费、办公用房物业管理费、公务用车运行维护费以及其他费用。</w:t>
      </w:r>
    </w:p>
    <w:p>
      <w:pPr>
        <w:adjustRightInd w:val="0"/>
        <w:snapToGrid w:val="0"/>
        <w:spacing w:before="100" w:beforeAutospacing="1" w:after="100" w:afterAutospacing="1" w:line="360" w:lineRule="auto"/>
        <w:ind w:right="-197" w:rightChars="-82" w:firstLine="601"/>
      </w:pPr>
      <w:r>
        <w:rPr>
          <w:rFonts w:hint="eastAsia" w:ascii="楷体" w:hAnsi="楷体" w:eastAsia="楷体" w:cs="仿宋_GB2312"/>
          <w:sz w:val="32"/>
          <w:szCs w:val="32"/>
        </w:rPr>
        <w:t>（十四）工资福利支出（支出经济分类科目类级）</w:t>
      </w:r>
      <w:r>
        <w:rPr>
          <w:rFonts w:hint="eastAsia" w:ascii="仿宋_GB2312" w:hAnsi="Times New Roman" w:eastAsia="仿宋_GB2312" w:cs="仿宋_GB2312"/>
          <w:sz w:val="32"/>
          <w:szCs w:val="32"/>
        </w:rPr>
        <w:t>：反映单位开支的在职职工和编制外长期聘用人员的各类劳动报酬，以及为上述人员缴纳的各项社会保险费等。</w:t>
      </w:r>
    </w:p>
    <w:p>
      <w:pPr>
        <w:adjustRightInd w:val="0"/>
        <w:snapToGrid w:val="0"/>
        <w:spacing w:before="100" w:beforeAutospacing="1" w:after="100" w:afterAutospacing="1" w:line="360" w:lineRule="auto"/>
        <w:ind w:right="-197" w:rightChars="-82" w:firstLine="601"/>
      </w:pPr>
      <w:r>
        <w:rPr>
          <w:rFonts w:hint="eastAsia" w:ascii="楷体" w:hAnsi="楷体" w:eastAsia="楷体" w:cs="仿宋_GB2312"/>
          <w:sz w:val="32"/>
          <w:szCs w:val="32"/>
        </w:rPr>
        <w:t>（十五）商品和服务支出（支出经济分类科目类级）</w:t>
      </w:r>
      <w:r>
        <w:rPr>
          <w:rFonts w:hint="eastAsia" w:ascii="仿宋_GB2312" w:hAnsi="Times New Roman" w:eastAsia="仿宋_GB2312" w:cs="仿宋_GB2312"/>
          <w:sz w:val="32"/>
          <w:szCs w:val="32"/>
        </w:rPr>
        <w:t>：反映单位购买商品和服务的支出（不包括用于购置固定资产的支出、战略性和应急储备支出）。</w:t>
      </w:r>
    </w:p>
    <w:p>
      <w:pPr>
        <w:adjustRightInd w:val="0"/>
        <w:snapToGrid w:val="0"/>
        <w:spacing w:before="100" w:beforeAutospacing="1" w:after="100" w:afterAutospacing="1" w:line="360" w:lineRule="auto"/>
        <w:ind w:firstLine="601"/>
      </w:pPr>
      <w:r>
        <w:rPr>
          <w:rFonts w:hint="eastAsia" w:ascii="楷体" w:hAnsi="楷体" w:eastAsia="楷体" w:cs="仿宋_GB2312"/>
          <w:sz w:val="32"/>
          <w:szCs w:val="32"/>
        </w:rPr>
        <w:t>（十六）对个人和家庭的补助（支出经济分类科目类级）</w:t>
      </w:r>
      <w:r>
        <w:rPr>
          <w:rFonts w:hint="eastAsia" w:ascii="仿宋_GB2312" w:hAnsi="Times New Roman" w:eastAsia="仿宋_GB2312" w:cs="仿宋_GB2312"/>
          <w:sz w:val="32"/>
          <w:szCs w:val="32"/>
        </w:rPr>
        <w:t>：反映用于对个人和家庭的补助支出。</w:t>
      </w:r>
    </w:p>
    <w:p>
      <w:pPr>
        <w:adjustRightInd w:val="0"/>
        <w:snapToGrid w:val="0"/>
        <w:spacing w:before="100" w:beforeAutospacing="1" w:after="100" w:afterAutospacing="1" w:line="360" w:lineRule="auto"/>
        <w:ind w:right="-197" w:rightChars="-82" w:firstLine="601"/>
      </w:pPr>
      <w:r>
        <w:rPr>
          <w:rFonts w:hint="eastAsia" w:ascii="楷体" w:hAnsi="楷体" w:eastAsia="楷体" w:cs="仿宋_GB2312"/>
          <w:sz w:val="32"/>
          <w:szCs w:val="32"/>
        </w:rPr>
        <w:t>（十七）其他资本性支出（支出经济分类科目类级）：</w:t>
      </w:r>
      <w:r>
        <w:rPr>
          <w:rFonts w:hint="eastAsia" w:ascii="仿宋_GB2312" w:hAnsi="Times New Roman" w:eastAsia="仿宋_GB2312" w:cs="仿宋_GB2312"/>
          <w:sz w:val="32"/>
          <w:szCs w:val="32"/>
        </w:rPr>
        <w:t>反映非各级发展与改革部门集中安排的用于购置固定资产、战略性和应急性储备、土地和无形资产，以及构建基础设施、大型修缮和财政支持企业更新改造所发生的支出。</w:t>
      </w:r>
    </w:p>
    <w:p>
      <w:pPr>
        <w:adjustRightInd w:val="0"/>
        <w:spacing w:before="100" w:beforeAutospacing="1" w:after="100" w:afterAutospacing="1" w:line="580" w:lineRule="exact"/>
        <w:ind w:firstLine="600"/>
        <w:rPr>
          <w:rFonts w:ascii="黑体" w:hAnsi="黑体" w:eastAsia="黑体"/>
        </w:rPr>
      </w:pPr>
      <w:r>
        <w:rPr>
          <w:rFonts w:ascii="Times New Roman" w:hAnsi="Times New Roman" w:eastAsia="仿宋_GB2312" w:cs="Times New Roman"/>
          <w:sz w:val="32"/>
          <w:szCs w:val="32"/>
        </w:rPr>
        <w:t> </w:t>
      </w:r>
      <w:r>
        <w:rPr>
          <w:rFonts w:hint="eastAsia" w:ascii="黑体" w:hAnsi="黑体" w:eastAsia="黑体" w:cs="仿宋_GB2312"/>
          <w:b/>
          <w:bCs/>
          <w:sz w:val="32"/>
          <w:szCs w:val="32"/>
        </w:rPr>
        <w:t>第四部分 决算公开联系方式及信息反馈渠道</w:t>
      </w:r>
    </w:p>
    <w:p>
      <w:pPr>
        <w:adjustRightInd w:val="0"/>
        <w:spacing w:before="100" w:beforeAutospacing="1" w:after="100" w:afterAutospacing="1" w:line="580" w:lineRule="exact"/>
        <w:ind w:firstLine="600"/>
      </w:pPr>
      <w:r>
        <w:rPr>
          <w:rFonts w:hint="eastAsia" w:ascii="仿宋_GB2312" w:hAnsi="Times New Roman" w:eastAsia="仿宋_GB2312" w:cs="仿宋_GB2312"/>
          <w:sz w:val="32"/>
          <w:szCs w:val="32"/>
        </w:rPr>
        <w:t>本单位决算公开信息反馈和联系方式：</w:t>
      </w:r>
    </w:p>
    <w:p>
      <w:pPr>
        <w:adjustRightInd w:val="0"/>
        <w:spacing w:before="100" w:beforeAutospacing="1" w:after="100" w:afterAutospacing="1" w:line="580" w:lineRule="exact"/>
        <w:ind w:firstLine="600"/>
      </w:pPr>
      <w:r>
        <w:rPr>
          <w:rFonts w:hint="eastAsia" w:ascii="仿宋_GB2312" w:hAnsi="Times New Roman" w:eastAsia="仿宋_GB2312" w:cs="仿宋_GB2312"/>
          <w:sz w:val="32"/>
          <w:szCs w:val="32"/>
        </w:rPr>
        <w:t>联系人：董卫      联系电话：0470-8105163</w:t>
      </w:r>
    </w:p>
    <w:sectPr>
      <w:footerReference r:id="rId3" w:type="default"/>
      <w:pgSz w:w="11907"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23924"/>
      <w:docPartObj>
        <w:docPartGallery w:val="autotext"/>
      </w:docPartObj>
    </w:sdtPr>
    <w:sdtContent>
      <w:p>
        <w:pPr>
          <w:pStyle w:val="2"/>
          <w:jc w:val="center"/>
        </w:pPr>
        <w:r>
          <w:fldChar w:fldCharType="begin"/>
        </w:r>
        <w:r>
          <w:instrText xml:space="preserve"> PAGE   \* MERGEFORMAT </w:instrText>
        </w:r>
        <w:r>
          <w:fldChar w:fldCharType="separate"/>
        </w:r>
        <w:r>
          <w:rPr>
            <w:lang w:val="zh-CN"/>
          </w:rPr>
          <w:t>9</w:t>
        </w:r>
        <w:r>
          <w:rPr>
            <w:lang w:val="zh-CN"/>
          </w:rPr>
          <w:fldChar w:fldCharType="end"/>
        </w:r>
      </w:p>
    </w:sdtContent>
  </w:sdt>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noPunctuationKerning w:val="true"/>
  <w:characterSpacingControl w:val="doNotCompress"/>
  <w:compat>
    <w:useFELayout/>
    <w:compatSetting w:name="compatibilityMode" w:uri="http://schemas.microsoft.com/office/word" w:val="12"/>
  </w:compat>
  <w:rsids>
    <w:rsidRoot w:val="005A7F99"/>
    <w:rsid w:val="000359F6"/>
    <w:rsid w:val="000523EE"/>
    <w:rsid w:val="000D34A2"/>
    <w:rsid w:val="000E22E4"/>
    <w:rsid w:val="00121F71"/>
    <w:rsid w:val="001254E6"/>
    <w:rsid w:val="00182D2A"/>
    <w:rsid w:val="001B04B7"/>
    <w:rsid w:val="001E1847"/>
    <w:rsid w:val="001F6C62"/>
    <w:rsid w:val="00234B1D"/>
    <w:rsid w:val="00244E98"/>
    <w:rsid w:val="00257929"/>
    <w:rsid w:val="00282B0F"/>
    <w:rsid w:val="002A471D"/>
    <w:rsid w:val="0033147B"/>
    <w:rsid w:val="00350FFF"/>
    <w:rsid w:val="003B2077"/>
    <w:rsid w:val="003C58B7"/>
    <w:rsid w:val="003E6B87"/>
    <w:rsid w:val="003F380E"/>
    <w:rsid w:val="00445D30"/>
    <w:rsid w:val="00471CB3"/>
    <w:rsid w:val="004F5CD5"/>
    <w:rsid w:val="00515B52"/>
    <w:rsid w:val="00523C88"/>
    <w:rsid w:val="00560A8E"/>
    <w:rsid w:val="005A7F99"/>
    <w:rsid w:val="005D09CF"/>
    <w:rsid w:val="0060638C"/>
    <w:rsid w:val="006308DF"/>
    <w:rsid w:val="00641F3A"/>
    <w:rsid w:val="0065134A"/>
    <w:rsid w:val="006A23A5"/>
    <w:rsid w:val="006D03F9"/>
    <w:rsid w:val="006E24E1"/>
    <w:rsid w:val="00713FA5"/>
    <w:rsid w:val="0074325A"/>
    <w:rsid w:val="00746E8A"/>
    <w:rsid w:val="00750D44"/>
    <w:rsid w:val="0075250C"/>
    <w:rsid w:val="007C791F"/>
    <w:rsid w:val="007F6A86"/>
    <w:rsid w:val="00822081"/>
    <w:rsid w:val="008569E2"/>
    <w:rsid w:val="0086236B"/>
    <w:rsid w:val="008A12A2"/>
    <w:rsid w:val="008B5814"/>
    <w:rsid w:val="00905C91"/>
    <w:rsid w:val="00913243"/>
    <w:rsid w:val="00923C52"/>
    <w:rsid w:val="009435FD"/>
    <w:rsid w:val="009D07EA"/>
    <w:rsid w:val="009E7C25"/>
    <w:rsid w:val="00A00ACF"/>
    <w:rsid w:val="00A56012"/>
    <w:rsid w:val="00AA6B01"/>
    <w:rsid w:val="00AC0E4D"/>
    <w:rsid w:val="00B13BC2"/>
    <w:rsid w:val="00B3035E"/>
    <w:rsid w:val="00B9136A"/>
    <w:rsid w:val="00BB5E6A"/>
    <w:rsid w:val="00BF31E1"/>
    <w:rsid w:val="00BF7F5C"/>
    <w:rsid w:val="00C31F82"/>
    <w:rsid w:val="00C33E9E"/>
    <w:rsid w:val="00C54B76"/>
    <w:rsid w:val="00C56238"/>
    <w:rsid w:val="00C90C26"/>
    <w:rsid w:val="00CB3D58"/>
    <w:rsid w:val="00D30ACE"/>
    <w:rsid w:val="00E3615A"/>
    <w:rsid w:val="00EA5B1F"/>
    <w:rsid w:val="00EF47EA"/>
    <w:rsid w:val="00EF7C84"/>
    <w:rsid w:val="00F00DD8"/>
    <w:rsid w:val="00F149B4"/>
    <w:rsid w:val="00F224C6"/>
    <w:rsid w:val="00F5653E"/>
    <w:rsid w:val="00FD7A38"/>
    <w:rsid w:val="089863C9"/>
    <w:rsid w:val="1E097E92"/>
    <w:rsid w:val="EF7EBF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rFonts w:ascii="宋体" w:hAnsi="宋体" w:eastAsia="宋体" w:cs="宋体"/>
      <w:sz w:val="18"/>
      <w:szCs w:val="18"/>
    </w:rPr>
  </w:style>
  <w:style w:type="character" w:customStyle="1" w:styleId="7">
    <w:name w:val="页脚 Char"/>
    <w:basedOn w:val="5"/>
    <w:link w:val="2"/>
    <w:qFormat/>
    <w:uiPriority w:val="99"/>
    <w:rPr>
      <w:rFonts w:ascii="宋体" w:hAnsi="宋体" w:eastAsia="宋体" w:cs="宋体"/>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daohangxitong.com</Company>
  <Pages>14</Pages>
  <Words>884</Words>
  <Characters>5044</Characters>
  <Lines>42</Lines>
  <Paragraphs>11</Paragraphs>
  <TotalTime>1</TotalTime>
  <ScaleCrop>false</ScaleCrop>
  <LinksUpToDate>false</LinksUpToDate>
  <CharactersWithSpaces>5917</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2019-08-29T16:14:00Z</dcterms:created>
  <dc:creator>Administrator</dc:creator>
  <cp:lastModifiedBy>kylin</cp:lastModifiedBy>
  <cp:lastPrinted>2019-08-30T09:26:00Z</cp:lastPrinted>
  <dcterms:modified xsi:type="dcterms:W3CDTF">2025-06-25T12:03:35Z</dcterms:modified>
  <dc:title>DWZDM</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