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r>
        <w:rPr>
          <w:rFonts w:hint="default" w:ascii="Times New Roman" w:hAnsi="Times New Roman" w:eastAsia="宋体"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r>
        <w:rPr>
          <w:rFonts w:hint="default" w:ascii="Times New Roman" w:hAnsi="Times New Roman" w:eastAsia="宋体"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r>
        <w:rPr>
          <w:rFonts w:hint="default" w:ascii="Times New Roman" w:hAnsi="Times New Roman" w:eastAsia="宋体" w:cs="Times New Roman"/>
          <w:b/>
          <w:kern w:val="0"/>
          <w:sz w:val="36"/>
          <w:szCs w:val="36"/>
          <w:lang w:val="en-US" w:eastAsia="zh-CN"/>
        </w:rPr>
        <w:t xml:space="preserve"> </w:t>
      </w:r>
      <w:bookmarkStart w:id="0" w:name="_GoBack"/>
      <w:bookmarkEnd w:id="0"/>
    </w:p>
    <w:p>
      <w:pPr>
        <w:widowControl/>
        <w:adjustRightInd w:val="0"/>
        <w:spacing w:before="0" w:beforeAutospacing="1" w:after="0" w:afterAutospacing="1" w:line="580" w:lineRule="exact"/>
        <w:ind w:left="0" w:right="0" w:firstLine="600"/>
        <w:jc w:val="center"/>
        <w:rPr>
          <w:rFonts w:hint="default" w:ascii="Times New Roman" w:hAnsi="Times New Roman" w:cs="Times New Roman"/>
          <w:b/>
          <w:sz w:val="36"/>
          <w:szCs w:val="36"/>
          <w:lang w:val="en-US"/>
        </w:rPr>
      </w:pPr>
      <w:r>
        <w:rPr>
          <w:rFonts w:hint="default" w:ascii="Times New Roman" w:hAnsi="Times New Roman" w:eastAsia="宋体" w:cs="Times New Roman"/>
          <w:b/>
          <w:kern w:val="0"/>
          <w:sz w:val="36"/>
          <w:szCs w:val="36"/>
          <w:lang w:val="en-US" w:eastAsia="zh-CN"/>
        </w:rPr>
        <w:t xml:space="preserve"> </w:t>
      </w:r>
    </w:p>
    <w:p>
      <w:pPr>
        <w:widowControl/>
        <w:adjustRightInd w:val="0"/>
        <w:spacing w:before="0" w:beforeAutospacing="1" w:after="0" w:afterAutospacing="1"/>
        <w:ind w:left="0" w:right="0" w:firstLine="601"/>
        <w:jc w:val="center"/>
        <w:rPr>
          <w:rFonts w:hint="eastAsia" w:ascii="仿宋_GB2312" w:hAnsi="Times New Roman" w:eastAsia="仿宋_GB2312" w:cs="仿宋_GB2312"/>
          <w:b/>
          <w:sz w:val="44"/>
          <w:szCs w:val="44"/>
          <w:lang w:val="en-US"/>
        </w:rPr>
      </w:pPr>
      <w:r>
        <w:rPr>
          <w:rFonts w:hint="eastAsia" w:ascii="仿宋_GB2312" w:hAnsi="Times New Roman" w:eastAsia="仿宋_GB2312" w:cs="仿宋_GB2312"/>
          <w:b/>
          <w:kern w:val="0"/>
          <w:sz w:val="44"/>
          <w:szCs w:val="44"/>
          <w:lang w:val="en-US" w:eastAsia="zh-CN"/>
        </w:rPr>
        <w:t>呼伦贝尔市商务局</w:t>
      </w:r>
    </w:p>
    <w:p>
      <w:pPr>
        <w:widowControl/>
        <w:adjustRightInd w:val="0"/>
        <w:spacing w:before="0" w:beforeAutospacing="1" w:after="0" w:afterAutospacing="1"/>
        <w:ind w:left="0" w:right="0" w:firstLine="601"/>
        <w:jc w:val="center"/>
        <w:rPr>
          <w:rFonts w:hint="eastAsia" w:ascii="仿宋_GB2312" w:hAnsi="Times New Roman" w:eastAsia="仿宋_GB2312" w:cs="仿宋_GB2312"/>
          <w:b/>
          <w:sz w:val="44"/>
          <w:szCs w:val="44"/>
          <w:lang w:val="en-US"/>
        </w:rPr>
      </w:pPr>
      <w:r>
        <w:rPr>
          <w:rFonts w:hint="eastAsia" w:ascii="仿宋_GB2312" w:hAnsi="Times New Roman" w:eastAsia="仿宋_GB2312" w:cs="仿宋_GB2312"/>
          <w:b/>
          <w:kern w:val="0"/>
          <w:sz w:val="44"/>
          <w:szCs w:val="44"/>
          <w:lang w:val="en-US" w:eastAsia="zh-CN"/>
        </w:rPr>
        <w:t>2018年度决算公开报告</w:t>
      </w:r>
    </w:p>
    <w:p>
      <w:pPr>
        <w:widowControl/>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adjustRightInd w:val="0"/>
        <w:spacing w:before="0" w:beforeAutospacing="1" w:after="0" w:afterAutospacing="1" w:line="580"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autoSpaceDE w:val="0"/>
        <w:adjustRightInd w:val="0"/>
        <w:spacing w:before="0" w:beforeAutospacing="0" w:after="0" w:afterAutospacing="0" w:line="576" w:lineRule="exact"/>
        <w:ind w:left="0" w:right="0" w:firstLine="600"/>
        <w:jc w:val="center"/>
        <w:rPr>
          <w:rFonts w:hint="default" w:ascii="Times New Roman" w:hAnsi="Times New Roman" w:eastAsia="仿宋_GB2312" w:cs="Times New Roman"/>
          <w:b/>
          <w:sz w:val="36"/>
          <w:szCs w:val="36"/>
          <w:lang w:val="en-US"/>
        </w:rPr>
      </w:pPr>
      <w:r>
        <w:rPr>
          <w:rFonts w:hint="default" w:ascii="Times New Roman" w:hAnsi="Times New Roman" w:eastAsia="仿宋_GB2312" w:cs="Times New Roman"/>
          <w:b/>
          <w:kern w:val="0"/>
          <w:sz w:val="36"/>
          <w:szCs w:val="36"/>
          <w:lang w:val="en-US" w:eastAsia="zh-CN"/>
        </w:rPr>
        <w:t xml:space="preserve"> </w:t>
      </w:r>
    </w:p>
    <w:p>
      <w:pPr>
        <w:widowControl/>
        <w:spacing w:before="0" w:beforeAutospacing="0" w:after="0" w:afterAutospacing="0"/>
        <w:ind w:left="0" w:right="0"/>
        <w:jc w:val="left"/>
        <w:rPr>
          <w:rFonts w:hint="eastAsia" w:ascii="仿宋_GB2312" w:hAnsi="Times New Roman" w:eastAsia="仿宋_GB2312" w:cs="仿宋_GB2312"/>
          <w:b/>
          <w:sz w:val="44"/>
          <w:szCs w:val="44"/>
          <w:lang w:val="en-US"/>
        </w:rPr>
      </w:pPr>
      <w:r>
        <w:rPr>
          <w:rFonts w:hint="eastAsia" w:ascii="仿宋_GB2312" w:hAnsi="Times New Roman" w:eastAsia="仿宋_GB2312" w:cs="宋体"/>
          <w:b/>
          <w:sz w:val="44"/>
          <w:szCs w:val="44"/>
          <w:lang w:val="en-US" w:eastAsia="zh-CN"/>
        </w:rPr>
        <w:br w:type="page"/>
      </w:r>
    </w:p>
    <w:p>
      <w:pPr>
        <w:widowControl/>
        <w:autoSpaceDE w:val="0"/>
        <w:adjustRightInd w:val="0"/>
        <w:spacing w:before="0" w:beforeAutospacing="0" w:after="0" w:afterAutospacing="0" w:line="576" w:lineRule="exact"/>
        <w:ind w:left="0" w:right="0" w:firstLine="601"/>
        <w:jc w:val="center"/>
        <w:rPr>
          <w:rFonts w:hint="eastAsia" w:ascii="仿宋_GB2312" w:hAnsi="Times New Roman" w:eastAsia="仿宋_GB2312" w:cs="仿宋_GB2312"/>
          <w:b/>
          <w:sz w:val="44"/>
          <w:szCs w:val="44"/>
          <w:lang w:val="en-US"/>
        </w:rPr>
      </w:pPr>
      <w:r>
        <w:rPr>
          <w:rFonts w:hint="eastAsia" w:ascii="仿宋_GB2312" w:hAnsi="Times New Roman" w:eastAsia="仿宋_GB2312" w:cs="仿宋_GB2312"/>
          <w:b/>
          <w:kern w:val="0"/>
          <w:sz w:val="44"/>
          <w:szCs w:val="44"/>
          <w:lang w:val="en-US" w:eastAsia="zh-CN"/>
        </w:rPr>
        <w:t>目录</w:t>
      </w:r>
    </w:p>
    <w:p>
      <w:pPr>
        <w:widowControl/>
        <w:autoSpaceDE w:val="0"/>
        <w:adjustRightInd w:val="0"/>
        <w:spacing w:before="0" w:beforeAutospacing="0" w:after="0" w:afterAutospacing="0" w:line="576" w:lineRule="exact"/>
        <w:ind w:left="0" w:right="0" w:firstLine="883" w:firstLineChars="200"/>
        <w:jc w:val="left"/>
        <w:rPr>
          <w:rFonts w:hint="eastAsia" w:ascii="仿宋_GB2312" w:hAnsi="Times New Roman" w:eastAsia="仿宋_GB2312" w:cs="仿宋_GB2312"/>
          <w:b/>
          <w:sz w:val="44"/>
          <w:szCs w:val="44"/>
          <w:lang w:val="en-US"/>
        </w:rPr>
      </w:pPr>
      <w:r>
        <w:rPr>
          <w:rFonts w:hint="eastAsia" w:ascii="仿宋_GB2312" w:hAnsi="Times New Roman" w:eastAsia="仿宋_GB2312" w:cs="仿宋_GB2312"/>
          <w:b/>
          <w:kern w:val="0"/>
          <w:sz w:val="44"/>
          <w:szCs w:val="44"/>
          <w:lang w:val="en-US" w:eastAsia="zh-CN"/>
        </w:rPr>
        <w:t xml:space="preserve"> </w:t>
      </w:r>
    </w:p>
    <w:p>
      <w:pPr>
        <w:widowControl/>
        <w:autoSpaceDE w:val="0"/>
        <w:adjustRightInd w:val="0"/>
        <w:spacing w:before="0" w:beforeAutospacing="0" w:after="0" w:afterAutospacing="0" w:line="576" w:lineRule="exact"/>
        <w:ind w:left="0" w:right="0" w:firstLine="642" w:firstLineChars="200"/>
        <w:jc w:val="left"/>
        <w:rPr>
          <w:rFonts w:hint="default" w:ascii="Times New Roman" w:hAnsi="Times New Roman" w:eastAsia="黑体" w:cs="Times New Roman"/>
          <w:b/>
          <w:sz w:val="32"/>
          <w:szCs w:val="32"/>
          <w:lang w:val="en-US"/>
        </w:rPr>
      </w:pPr>
      <w:r>
        <w:rPr>
          <w:rFonts w:hint="eastAsia" w:ascii="黑体" w:hAnsi="宋体" w:eastAsia="黑体" w:cs="黑体"/>
          <w:b/>
          <w:kern w:val="0"/>
          <w:sz w:val="32"/>
          <w:szCs w:val="32"/>
          <w:lang w:val="en-US" w:eastAsia="zh-CN"/>
        </w:rPr>
        <w:t>第一部分</w:t>
      </w:r>
      <w:r>
        <w:rPr>
          <w:rFonts w:hint="eastAsia" w:ascii="黑体" w:hAnsi="Times New Roman" w:eastAsia="黑体" w:cs="黑体"/>
          <w:b/>
          <w:kern w:val="0"/>
          <w:sz w:val="32"/>
          <w:szCs w:val="32"/>
          <w:lang w:val="en-US" w:eastAsia="zh-CN"/>
        </w:rPr>
        <w:t xml:space="preserve"> </w:t>
      </w:r>
      <w:r>
        <w:rPr>
          <w:rFonts w:hint="eastAsia" w:ascii="黑体" w:hAnsi="宋体" w:eastAsia="黑体" w:cs="黑体"/>
          <w:b/>
          <w:kern w:val="0"/>
          <w:sz w:val="32"/>
          <w:szCs w:val="32"/>
          <w:lang w:val="en-US" w:eastAsia="zh-CN"/>
        </w:rPr>
        <w:t>部门基本情况</w:t>
      </w:r>
    </w:p>
    <w:p>
      <w:pPr>
        <w:widowControl/>
        <w:numPr>
          <w:ilvl w:val="0"/>
          <w:numId w:val="1"/>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部门职能</w:t>
      </w:r>
    </w:p>
    <w:p>
      <w:pPr>
        <w:widowControl/>
        <w:numPr>
          <w:ilvl w:val="0"/>
          <w:numId w:val="1"/>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机构设置及单位构成情况</w:t>
      </w:r>
    </w:p>
    <w:p>
      <w:pPr>
        <w:widowControl/>
        <w:autoSpaceDE w:val="0"/>
        <w:adjustRightInd w:val="0"/>
        <w:spacing w:before="0" w:beforeAutospacing="0" w:after="0" w:afterAutospacing="0" w:line="576" w:lineRule="exact"/>
        <w:ind w:left="0" w:right="0" w:firstLine="642" w:firstLineChars="200"/>
        <w:jc w:val="left"/>
        <w:rPr>
          <w:rFonts w:hint="default" w:ascii="Times New Roman" w:hAnsi="Times New Roman" w:eastAsia="黑体" w:cs="Times New Roman"/>
          <w:b/>
          <w:sz w:val="32"/>
          <w:szCs w:val="32"/>
          <w:lang w:val="en-US"/>
        </w:rPr>
      </w:pPr>
      <w:r>
        <w:rPr>
          <w:rFonts w:hint="eastAsia" w:ascii="黑体" w:hAnsi="宋体" w:eastAsia="黑体" w:cs="黑体"/>
          <w:b/>
          <w:kern w:val="0"/>
          <w:sz w:val="32"/>
          <w:szCs w:val="32"/>
          <w:lang w:val="en-US" w:eastAsia="zh-CN"/>
        </w:rPr>
        <w:t>第二部分</w:t>
      </w:r>
      <w:r>
        <w:rPr>
          <w:rFonts w:hint="eastAsia" w:ascii="黑体" w:hAnsi="Times New Roman" w:eastAsia="黑体" w:cs="黑体"/>
          <w:b/>
          <w:kern w:val="0"/>
          <w:sz w:val="32"/>
          <w:szCs w:val="32"/>
          <w:lang w:val="en-US" w:eastAsia="zh-CN"/>
        </w:rPr>
        <w:t xml:space="preserve"> 2018年度部门决算情况说明</w:t>
      </w:r>
    </w:p>
    <w:p>
      <w:pPr>
        <w:widowControl/>
        <w:numPr>
          <w:ilvl w:val="0"/>
          <w:numId w:val="2"/>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关于2018年度预算执行情况分析</w:t>
      </w:r>
    </w:p>
    <w:p>
      <w:pPr>
        <w:widowControl/>
        <w:numPr>
          <w:ilvl w:val="0"/>
          <w:numId w:val="2"/>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关于2018年度决算情况说明</w:t>
      </w:r>
    </w:p>
    <w:p>
      <w:pPr>
        <w:widowControl/>
        <w:numPr>
          <w:ilvl w:val="0"/>
          <w:numId w:val="3"/>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关于收支情况总体说明</w:t>
      </w:r>
    </w:p>
    <w:p>
      <w:pPr>
        <w:widowControl/>
        <w:numPr>
          <w:ilvl w:val="0"/>
          <w:numId w:val="3"/>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关于2018年度收入决算情况说明</w:t>
      </w:r>
    </w:p>
    <w:p>
      <w:pPr>
        <w:widowControl/>
        <w:numPr>
          <w:ilvl w:val="0"/>
          <w:numId w:val="3"/>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关于2018年度支出决算情况说明</w:t>
      </w:r>
    </w:p>
    <w:p>
      <w:pPr>
        <w:widowControl/>
        <w:numPr>
          <w:ilvl w:val="0"/>
          <w:numId w:val="3"/>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关于2018年度财政拨款收入支出决算总体情况说明</w:t>
      </w:r>
    </w:p>
    <w:p>
      <w:pPr>
        <w:widowControl/>
        <w:numPr>
          <w:ilvl w:val="0"/>
          <w:numId w:val="3"/>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关于2018年度一般公共预算财政拨款支出决算情况说明</w:t>
      </w:r>
    </w:p>
    <w:p>
      <w:pPr>
        <w:widowControl/>
        <w:numPr>
          <w:ilvl w:val="0"/>
          <w:numId w:val="3"/>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关于2018年度一般公共预算财政拨款基本支出决算情况说明</w:t>
      </w:r>
    </w:p>
    <w:p>
      <w:pPr>
        <w:widowControl/>
        <w:numPr>
          <w:ilvl w:val="0"/>
          <w:numId w:val="3"/>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关于2018年度财政拨款</w:t>
      </w:r>
      <w:r>
        <w:rPr>
          <w:rFonts w:hint="default" w:ascii="Times New Roman" w:hAnsi="Times New Roman" w:eastAsia="仿宋_GB2312" w:cs="Times New Roman"/>
          <w:kern w:val="0"/>
          <w:sz w:val="32"/>
          <w:szCs w:val="32"/>
          <w:lang w:val="en-US" w:eastAsia="zh-CN"/>
        </w:rPr>
        <w:t>“</w:t>
      </w:r>
      <w:r>
        <w:rPr>
          <w:rFonts w:hint="eastAsia" w:ascii="仿宋_GB2312" w:hAnsi="Times New Roman" w:eastAsia="仿宋_GB2312" w:cs="仿宋_GB2312"/>
          <w:kern w:val="0"/>
          <w:sz w:val="32"/>
          <w:szCs w:val="32"/>
          <w:lang w:val="en-US" w:eastAsia="zh-CN"/>
        </w:rPr>
        <w:t>三公</w:t>
      </w:r>
      <w:r>
        <w:rPr>
          <w:rFonts w:hint="default" w:ascii="Times New Roman" w:hAnsi="Times New Roman" w:eastAsia="仿宋_GB2312" w:cs="Times New Roman"/>
          <w:kern w:val="0"/>
          <w:sz w:val="32"/>
          <w:szCs w:val="32"/>
          <w:lang w:val="en-US" w:eastAsia="zh-CN"/>
        </w:rPr>
        <w:t>”</w:t>
      </w:r>
      <w:r>
        <w:rPr>
          <w:rFonts w:hint="eastAsia" w:ascii="仿宋_GB2312" w:hAnsi="Times New Roman" w:eastAsia="仿宋_GB2312" w:cs="仿宋_GB2312"/>
          <w:kern w:val="0"/>
          <w:sz w:val="32"/>
          <w:szCs w:val="32"/>
          <w:lang w:val="en-US" w:eastAsia="zh-CN"/>
        </w:rPr>
        <w:t>经费支出决算情况说明</w:t>
      </w:r>
    </w:p>
    <w:p>
      <w:pPr>
        <w:widowControl/>
        <w:numPr>
          <w:ilvl w:val="0"/>
          <w:numId w:val="4"/>
        </w:numPr>
        <w:autoSpaceDE w:val="0"/>
        <w:adjustRightInd w:val="0"/>
        <w:spacing w:before="0" w:beforeAutospacing="0" w:after="0" w:afterAutospacing="0" w:line="576" w:lineRule="exact"/>
        <w:ind w:left="0" w:right="0" w:firstLine="640" w:firstLineChars="200"/>
        <w:jc w:val="left"/>
        <w:rPr>
          <w:rFonts w:hint="default" w:ascii="Times New Roman" w:hAnsi="Times New Roman" w:eastAsia="仿宋_GB2312" w:cs="Times New Roman"/>
          <w:sz w:val="32"/>
          <w:szCs w:val="32"/>
          <w:lang w:val="en-US"/>
        </w:rPr>
      </w:pPr>
      <w:r>
        <w:rPr>
          <w:rFonts w:hint="default" w:ascii="Times New Roman" w:hAnsi="Times New Roman" w:eastAsia="仿宋_GB2312" w:cs="Times New Roman"/>
          <w:kern w:val="0"/>
          <w:sz w:val="32"/>
          <w:szCs w:val="32"/>
          <w:lang w:val="en-US" w:eastAsia="zh-CN"/>
        </w:rPr>
        <w:t>“</w:t>
      </w:r>
      <w:r>
        <w:rPr>
          <w:rFonts w:hint="eastAsia" w:ascii="仿宋_GB2312" w:hAnsi="Times New Roman" w:eastAsia="仿宋_GB2312" w:cs="仿宋_GB2312"/>
          <w:kern w:val="0"/>
          <w:sz w:val="32"/>
          <w:szCs w:val="32"/>
          <w:lang w:val="en-US" w:eastAsia="zh-CN"/>
        </w:rPr>
        <w:t>三公</w:t>
      </w:r>
      <w:r>
        <w:rPr>
          <w:rFonts w:hint="default" w:ascii="Times New Roman" w:hAnsi="Times New Roman" w:eastAsia="仿宋_GB2312" w:cs="Times New Roman"/>
          <w:kern w:val="0"/>
          <w:sz w:val="32"/>
          <w:szCs w:val="32"/>
          <w:lang w:val="en-US" w:eastAsia="zh-CN"/>
        </w:rPr>
        <w:t>”</w:t>
      </w:r>
      <w:r>
        <w:rPr>
          <w:rFonts w:hint="eastAsia" w:ascii="仿宋_GB2312" w:hAnsi="Times New Roman" w:eastAsia="仿宋_GB2312" w:cs="仿宋_GB2312"/>
          <w:kern w:val="0"/>
          <w:sz w:val="32"/>
          <w:szCs w:val="32"/>
          <w:lang w:val="en-US" w:eastAsia="zh-CN"/>
        </w:rPr>
        <w:t>经费财政拨款支出决算总体情况说明</w:t>
      </w:r>
    </w:p>
    <w:p>
      <w:pPr>
        <w:widowControl/>
        <w:numPr>
          <w:ilvl w:val="0"/>
          <w:numId w:val="4"/>
        </w:numPr>
        <w:autoSpaceDE w:val="0"/>
        <w:adjustRightInd w:val="0"/>
        <w:spacing w:before="0" w:beforeAutospacing="0" w:after="0" w:afterAutospacing="0" w:line="576" w:lineRule="exact"/>
        <w:ind w:left="0" w:right="0" w:firstLine="640" w:firstLineChars="200"/>
        <w:jc w:val="left"/>
        <w:rPr>
          <w:rFonts w:hint="default" w:ascii="Times New Roman" w:hAnsi="Times New Roman" w:eastAsia="仿宋_GB2312" w:cs="Times New Roman"/>
          <w:sz w:val="32"/>
          <w:szCs w:val="32"/>
          <w:lang w:val="en-US"/>
        </w:rPr>
      </w:pPr>
      <w:r>
        <w:rPr>
          <w:rFonts w:hint="default" w:ascii="Times New Roman" w:hAnsi="Times New Roman" w:eastAsia="仿宋_GB2312" w:cs="Times New Roman"/>
          <w:kern w:val="0"/>
          <w:sz w:val="32"/>
          <w:szCs w:val="32"/>
          <w:lang w:val="en-US" w:eastAsia="zh-CN"/>
        </w:rPr>
        <w:t>“</w:t>
      </w:r>
      <w:r>
        <w:rPr>
          <w:rFonts w:hint="eastAsia" w:ascii="仿宋_GB2312" w:hAnsi="Times New Roman" w:eastAsia="仿宋_GB2312" w:cs="仿宋_GB2312"/>
          <w:kern w:val="0"/>
          <w:sz w:val="32"/>
          <w:szCs w:val="32"/>
          <w:lang w:val="en-US" w:eastAsia="zh-CN"/>
        </w:rPr>
        <w:t>三公</w:t>
      </w:r>
      <w:r>
        <w:rPr>
          <w:rFonts w:hint="default" w:ascii="Times New Roman" w:hAnsi="Times New Roman" w:eastAsia="仿宋_GB2312" w:cs="Times New Roman"/>
          <w:kern w:val="0"/>
          <w:sz w:val="32"/>
          <w:szCs w:val="32"/>
          <w:lang w:val="en-US" w:eastAsia="zh-CN"/>
        </w:rPr>
        <w:t>”</w:t>
      </w:r>
      <w:r>
        <w:rPr>
          <w:rFonts w:hint="eastAsia" w:ascii="仿宋_GB2312" w:hAnsi="Times New Roman" w:eastAsia="仿宋_GB2312" w:cs="仿宋_GB2312"/>
          <w:kern w:val="0"/>
          <w:sz w:val="32"/>
          <w:szCs w:val="32"/>
          <w:lang w:val="en-US" w:eastAsia="zh-CN"/>
        </w:rPr>
        <w:t>经费财政拨款支出决算具体情况说明</w:t>
      </w:r>
    </w:p>
    <w:p>
      <w:pPr>
        <w:widowControl/>
        <w:numPr>
          <w:ilvl w:val="0"/>
          <w:numId w:val="5"/>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其他重要事项的情况说明</w:t>
      </w:r>
    </w:p>
    <w:p>
      <w:pPr>
        <w:widowControl/>
        <w:numPr>
          <w:ilvl w:val="0"/>
          <w:numId w:val="6"/>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机关运行经费支出情况</w:t>
      </w:r>
    </w:p>
    <w:p>
      <w:pPr>
        <w:widowControl/>
        <w:numPr>
          <w:ilvl w:val="0"/>
          <w:numId w:val="6"/>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政府采购支出情况</w:t>
      </w:r>
    </w:p>
    <w:p>
      <w:pPr>
        <w:widowControl/>
        <w:numPr>
          <w:ilvl w:val="0"/>
          <w:numId w:val="6"/>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国有资产占用情况</w:t>
      </w:r>
    </w:p>
    <w:p>
      <w:pPr>
        <w:widowControl/>
        <w:numPr>
          <w:ilvl w:val="0"/>
          <w:numId w:val="6"/>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预算绩效管理工作开展情况</w:t>
      </w:r>
    </w:p>
    <w:p>
      <w:pPr>
        <w:widowControl/>
        <w:autoSpaceDE w:val="0"/>
        <w:adjustRightInd w:val="0"/>
        <w:spacing w:before="0" w:beforeAutospacing="0" w:after="0" w:afterAutospacing="0" w:line="576" w:lineRule="exact"/>
        <w:ind w:left="0" w:right="0" w:firstLine="642" w:firstLineChars="200"/>
        <w:jc w:val="left"/>
        <w:rPr>
          <w:rFonts w:hint="eastAsia" w:ascii="黑体" w:hAnsi="Times New Roman" w:eastAsia="黑体" w:cs="黑体"/>
          <w:b/>
          <w:sz w:val="32"/>
          <w:szCs w:val="32"/>
          <w:lang w:val="en-US"/>
        </w:rPr>
      </w:pPr>
      <w:r>
        <w:rPr>
          <w:rFonts w:hint="eastAsia" w:ascii="黑体" w:hAnsi="宋体" w:eastAsia="黑体" w:cs="黑体"/>
          <w:b/>
          <w:kern w:val="0"/>
          <w:sz w:val="32"/>
          <w:szCs w:val="32"/>
          <w:lang w:val="en-US" w:eastAsia="zh-CN"/>
        </w:rPr>
        <w:t>第三部分</w:t>
      </w:r>
      <w:r>
        <w:rPr>
          <w:rFonts w:hint="eastAsia" w:ascii="黑体" w:hAnsi="Times New Roman" w:eastAsia="黑体" w:cs="黑体"/>
          <w:b/>
          <w:kern w:val="0"/>
          <w:sz w:val="32"/>
          <w:szCs w:val="32"/>
          <w:lang w:val="en-US" w:eastAsia="zh-CN"/>
        </w:rPr>
        <w:t xml:space="preserve"> </w:t>
      </w:r>
      <w:r>
        <w:rPr>
          <w:rFonts w:hint="eastAsia" w:ascii="黑体" w:hAnsi="宋体" w:eastAsia="黑体" w:cs="黑体"/>
          <w:b/>
          <w:kern w:val="0"/>
          <w:sz w:val="32"/>
          <w:szCs w:val="32"/>
          <w:lang w:val="en-US" w:eastAsia="zh-CN"/>
        </w:rPr>
        <w:t>名词解释</w:t>
      </w:r>
    </w:p>
    <w:p>
      <w:pPr>
        <w:widowControl/>
        <w:autoSpaceDE w:val="0"/>
        <w:adjustRightInd w:val="0"/>
        <w:spacing w:before="0" w:beforeAutospacing="0" w:after="0" w:afterAutospacing="0" w:line="576" w:lineRule="exact"/>
        <w:ind w:left="0" w:right="0" w:firstLine="642" w:firstLineChars="200"/>
        <w:jc w:val="left"/>
        <w:rPr>
          <w:rFonts w:hint="eastAsia" w:ascii="黑体" w:hAnsi="Times New Roman" w:eastAsia="黑体" w:cs="黑体"/>
          <w:b/>
          <w:sz w:val="32"/>
          <w:szCs w:val="32"/>
          <w:lang w:val="en-US"/>
        </w:rPr>
      </w:pPr>
      <w:r>
        <w:rPr>
          <w:rFonts w:hint="eastAsia" w:ascii="黑体" w:hAnsi="宋体" w:eastAsia="黑体" w:cs="黑体"/>
          <w:b/>
          <w:kern w:val="0"/>
          <w:sz w:val="32"/>
          <w:szCs w:val="32"/>
          <w:lang w:val="en-US" w:eastAsia="zh-CN"/>
        </w:rPr>
        <w:t>第四部分</w:t>
      </w:r>
      <w:r>
        <w:rPr>
          <w:rFonts w:hint="eastAsia" w:ascii="黑体" w:hAnsi="Times New Roman" w:eastAsia="黑体" w:cs="黑体"/>
          <w:b/>
          <w:kern w:val="0"/>
          <w:sz w:val="32"/>
          <w:szCs w:val="32"/>
          <w:lang w:val="en-US" w:eastAsia="zh-CN"/>
        </w:rPr>
        <w:t xml:space="preserve"> </w:t>
      </w:r>
      <w:r>
        <w:rPr>
          <w:rFonts w:hint="eastAsia" w:ascii="黑体" w:hAnsi="宋体" w:eastAsia="黑体" w:cs="黑体"/>
          <w:b/>
          <w:kern w:val="0"/>
          <w:sz w:val="32"/>
          <w:szCs w:val="32"/>
          <w:lang w:val="en-US" w:eastAsia="zh-CN"/>
        </w:rPr>
        <w:t>决算公开联系方式及信息反馈渠道</w:t>
      </w:r>
    </w:p>
    <w:p>
      <w:pPr>
        <w:widowControl/>
        <w:autoSpaceDE w:val="0"/>
        <w:adjustRightInd w:val="0"/>
        <w:spacing w:before="0" w:beforeAutospacing="0" w:after="0" w:afterAutospacing="0" w:line="576" w:lineRule="exact"/>
        <w:ind w:left="0" w:right="0" w:firstLine="642" w:firstLineChars="200"/>
        <w:jc w:val="left"/>
        <w:rPr>
          <w:rFonts w:hint="default" w:ascii="Times New Roman" w:hAnsi="Times New Roman" w:eastAsia="黑体" w:cs="Times New Roman"/>
          <w:b/>
          <w:sz w:val="32"/>
          <w:szCs w:val="32"/>
          <w:lang w:val="en-US"/>
        </w:rPr>
      </w:pPr>
      <w:r>
        <w:rPr>
          <w:rFonts w:hint="eastAsia" w:ascii="黑体" w:hAnsi="宋体" w:eastAsia="黑体" w:cs="黑体"/>
          <w:b/>
          <w:kern w:val="0"/>
          <w:sz w:val="32"/>
          <w:szCs w:val="32"/>
          <w:lang w:val="en-US" w:eastAsia="zh-CN"/>
        </w:rPr>
        <w:t>第五部分</w:t>
      </w:r>
      <w:r>
        <w:rPr>
          <w:rFonts w:hint="eastAsia" w:ascii="黑体" w:hAnsi="Times New Roman" w:eastAsia="黑体" w:cs="黑体"/>
          <w:b/>
          <w:kern w:val="0"/>
          <w:sz w:val="32"/>
          <w:szCs w:val="32"/>
          <w:lang w:val="en-US" w:eastAsia="zh-CN"/>
        </w:rPr>
        <w:t xml:space="preserve"> </w:t>
      </w:r>
      <w:r>
        <w:rPr>
          <w:rFonts w:hint="eastAsia" w:ascii="黑体" w:hAnsi="宋体" w:eastAsia="黑体" w:cs="黑体"/>
          <w:b/>
          <w:kern w:val="0"/>
          <w:sz w:val="32"/>
          <w:szCs w:val="32"/>
          <w:lang w:val="en-US" w:eastAsia="zh-CN"/>
        </w:rPr>
        <w:t>部门决算公开表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收入支出决算总表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收入决算表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支出决算表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财政拨款收入支出决算总表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一般公共预算财政拨款支出决算表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一般公共预算财政拨款基本支出决算明细表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政府性基金财政拨款支出决算表</w:t>
      </w:r>
    </w:p>
    <w:p>
      <w:pPr>
        <w:widowControl/>
        <w:numPr>
          <w:ilvl w:val="0"/>
          <w:numId w:val="7"/>
        </w:numPr>
        <w:autoSpaceDE w:val="0"/>
        <w:adjustRightInd w:val="0"/>
        <w:spacing w:before="0" w:beforeAutospacing="0" w:after="0" w:afterAutospacing="0" w:line="576" w:lineRule="exact"/>
        <w:ind w:left="0" w:right="0" w:firstLine="420"/>
        <w:jc w:val="left"/>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部门决算相关信息统计表</w:t>
      </w:r>
    </w:p>
    <w:p>
      <w:pPr>
        <w:widowControl/>
        <w:autoSpaceDE w:val="0"/>
        <w:adjustRightInd w:val="0"/>
        <w:spacing w:before="0" w:beforeAutospacing="0" w:after="0" w:afterAutospacing="0" w:line="576" w:lineRule="exact"/>
        <w:ind w:left="0" w:right="0" w:firstLine="601"/>
        <w:jc w:val="left"/>
        <w:rPr>
          <w:rFonts w:hint="default" w:ascii="Times New Roman" w:hAnsi="Times New Roman" w:eastAsia="仿宋_GB2312" w:cs="Times New Roman"/>
          <w:b/>
          <w:sz w:val="44"/>
          <w:szCs w:val="44"/>
          <w:lang w:val="en-US"/>
        </w:rPr>
      </w:pPr>
      <w:r>
        <w:rPr>
          <w:rFonts w:hint="default" w:ascii="Times New Roman" w:hAnsi="Times New Roman" w:eastAsia="仿宋_GB2312" w:cs="Times New Roman"/>
          <w:b/>
          <w:kern w:val="0"/>
          <w:sz w:val="44"/>
          <w:szCs w:val="44"/>
          <w:lang w:val="en-US" w:eastAsia="zh-CN"/>
        </w:rPr>
        <w:t xml:space="preserve"> </w:t>
      </w:r>
    </w:p>
    <w:p>
      <w:pPr>
        <w:widowControl/>
        <w:autoSpaceDE w:val="0"/>
        <w:spacing w:before="0" w:beforeAutospacing="0" w:after="0" w:afterAutospacing="0" w:line="576" w:lineRule="exact"/>
        <w:ind w:left="0" w:right="0"/>
        <w:jc w:val="left"/>
        <w:rPr>
          <w:lang w:val="en-US"/>
        </w:rPr>
      </w:pPr>
      <w:r>
        <w:rPr>
          <w:rFonts w:hint="eastAsia" w:ascii="宋体" w:hAnsi="宋体" w:eastAsia="宋体" w:cs="宋体"/>
          <w:kern w:val="0"/>
          <w:sz w:val="24"/>
          <w:szCs w:val="24"/>
          <w:lang w:val="en-US" w:eastAsia="zh-CN"/>
        </w:rPr>
        <w:t xml:space="preserve">  </w:t>
      </w:r>
    </w:p>
    <w:p>
      <w:pPr>
        <w:widowControl/>
        <w:autoSpaceDE w:val="0"/>
        <w:spacing w:before="0" w:beforeAutospacing="0" w:after="0" w:afterAutospacing="0" w:line="576" w:lineRule="exact"/>
        <w:ind w:left="0" w:right="0"/>
        <w:jc w:val="left"/>
        <w:rPr>
          <w:lang w:val="en-US"/>
        </w:rPr>
      </w:pPr>
      <w:r>
        <w:rPr>
          <w:rFonts w:hint="eastAsia" w:ascii="宋体" w:hAnsi="宋体" w:eastAsia="宋体" w:cs="宋体"/>
          <w:kern w:val="0"/>
          <w:sz w:val="24"/>
          <w:szCs w:val="24"/>
          <w:lang w:val="en-US" w:eastAsia="zh-CN"/>
        </w:rPr>
        <w:t xml:space="preserve"> </w:t>
      </w:r>
    </w:p>
    <w:p>
      <w:pPr>
        <w:widowControl/>
        <w:autoSpaceDE w:val="0"/>
        <w:spacing w:before="0" w:beforeAutospacing="0" w:after="0" w:afterAutospacing="0" w:line="576" w:lineRule="exact"/>
        <w:ind w:left="0" w:right="0"/>
        <w:jc w:val="left"/>
        <w:rPr>
          <w:lang w:val="en-US"/>
        </w:rPr>
      </w:pPr>
      <w:r>
        <w:rPr>
          <w:rFonts w:hint="eastAsia" w:ascii="宋体" w:hAnsi="宋体" w:eastAsia="宋体" w:cs="宋体"/>
          <w:kern w:val="0"/>
          <w:sz w:val="24"/>
          <w:szCs w:val="24"/>
          <w:lang w:val="en-US" w:eastAsia="zh-CN"/>
        </w:rPr>
        <w:t xml:space="preserve"> </w:t>
      </w:r>
    </w:p>
    <w:p>
      <w:pPr>
        <w:widowControl/>
        <w:autoSpaceDE w:val="0"/>
        <w:spacing w:before="0" w:beforeAutospacing="0" w:after="0" w:afterAutospacing="0" w:line="576" w:lineRule="exact"/>
        <w:ind w:left="0" w:right="0"/>
        <w:jc w:val="left"/>
        <w:rPr>
          <w:lang w:val="en-US"/>
        </w:rPr>
      </w:pPr>
      <w:r>
        <w:rPr>
          <w:rFonts w:hint="eastAsia" w:ascii="宋体" w:hAnsi="宋体" w:eastAsia="宋体" w:cs="宋体"/>
          <w:kern w:val="0"/>
          <w:sz w:val="24"/>
          <w:szCs w:val="24"/>
          <w:lang w:val="en-US" w:eastAsia="zh-CN"/>
        </w:rPr>
        <w:t xml:space="preserve"> </w:t>
      </w:r>
    </w:p>
    <w:p>
      <w:pPr>
        <w:widowControl/>
        <w:autoSpaceDE w:val="0"/>
        <w:spacing w:before="0" w:beforeAutospacing="0" w:after="0" w:afterAutospacing="0" w:line="576" w:lineRule="exact"/>
        <w:ind w:left="0" w:right="0"/>
        <w:jc w:val="left"/>
        <w:rPr>
          <w:lang w:val="en-US"/>
        </w:rPr>
      </w:pPr>
      <w:r>
        <w:rPr>
          <w:rFonts w:hint="eastAsia" w:ascii="宋体" w:hAnsi="宋体" w:eastAsia="宋体" w:cs="宋体"/>
          <w:kern w:val="0"/>
          <w:sz w:val="24"/>
          <w:szCs w:val="24"/>
          <w:lang w:val="en-US" w:eastAsia="zh-CN"/>
        </w:rPr>
        <w:t xml:space="preserve"> </w:t>
      </w:r>
    </w:p>
    <w:p>
      <w:pPr>
        <w:widowControl/>
        <w:autoSpaceDE w:val="0"/>
        <w:spacing w:before="0" w:beforeAutospacing="0" w:after="0" w:afterAutospacing="0" w:line="576" w:lineRule="exact"/>
        <w:ind w:left="0" w:right="0"/>
        <w:jc w:val="left"/>
        <w:rPr>
          <w:lang w:val="en-US"/>
        </w:rPr>
      </w:pPr>
      <w:r>
        <w:rPr>
          <w:rFonts w:hint="eastAsia" w:ascii="宋体" w:hAnsi="宋体" w:eastAsia="宋体" w:cs="宋体"/>
          <w:kern w:val="0"/>
          <w:sz w:val="24"/>
          <w:szCs w:val="24"/>
          <w:lang w:val="en-US" w:eastAsia="zh-CN"/>
        </w:rPr>
        <w:t xml:space="preserve"> </w:t>
      </w:r>
    </w:p>
    <w:p>
      <w:pPr>
        <w:widowControl/>
        <w:autoSpaceDE w:val="0"/>
        <w:spacing w:before="0" w:beforeAutospacing="0" w:after="0" w:afterAutospacing="0" w:line="576" w:lineRule="exact"/>
        <w:ind w:left="0" w:right="0"/>
        <w:jc w:val="left"/>
        <w:rPr>
          <w:lang w:val="en-US"/>
        </w:rPr>
      </w:pPr>
      <w:r>
        <w:rPr>
          <w:rFonts w:hint="eastAsia" w:ascii="宋体" w:hAnsi="宋体" w:eastAsia="宋体" w:cs="宋体"/>
          <w:kern w:val="0"/>
          <w:sz w:val="24"/>
          <w:szCs w:val="24"/>
          <w:lang w:val="en-US" w:eastAsia="zh-CN"/>
        </w:rPr>
        <w:t xml:space="preserve"> </w:t>
      </w:r>
    </w:p>
    <w:p>
      <w:pPr>
        <w:widowControl/>
        <w:autoSpaceDE w:val="0"/>
        <w:adjustRightInd w:val="0"/>
        <w:spacing w:before="0" w:beforeAutospacing="0" w:after="0" w:afterAutospacing="0" w:line="576" w:lineRule="exact"/>
        <w:ind w:left="0" w:right="0" w:firstLine="600"/>
        <w:jc w:val="left"/>
        <w:rPr>
          <w:rFonts w:hint="eastAsia" w:ascii="仿宋_GB2312" w:hAnsi="Times New Roman" w:eastAsia="仿宋_GB2312" w:cs="仿宋_GB2312"/>
          <w:sz w:val="32"/>
          <w:szCs w:val="32"/>
          <w:lang w:val="en-US"/>
        </w:rPr>
      </w:pPr>
      <w:r>
        <w:rPr>
          <w:rFonts w:hint="eastAsia" w:ascii="仿宋_GB2312" w:hAnsi="Times New Roman" w:eastAsia="仿宋_GB2312" w:cs="仿宋_GB2312"/>
          <w:b/>
          <w:kern w:val="0"/>
          <w:sz w:val="32"/>
          <w:szCs w:val="32"/>
          <w:lang w:val="en-US" w:eastAsia="zh-CN"/>
        </w:rPr>
        <w:t>第一部分 部门基本情况</w:t>
      </w:r>
    </w:p>
    <w:p>
      <w:pPr>
        <w:widowControl/>
        <w:numPr>
          <w:ilvl w:val="0"/>
          <w:numId w:val="8"/>
        </w:numPr>
        <w:autoSpaceDE w:val="0"/>
        <w:adjustRightInd w:val="0"/>
        <w:spacing w:before="0" w:beforeAutospacing="0" w:after="0" w:afterAutospacing="0" w:line="576" w:lineRule="exact"/>
        <w:ind w:left="0" w:leftChars="0" w:right="0" w:firstLine="420" w:firstLineChars="0"/>
        <w:jc w:val="left"/>
        <w:rPr>
          <w:rFonts w:hint="eastAsia" w:ascii="黑体" w:hAnsi="黑体" w:eastAsia="黑体" w:cs="黑体"/>
          <w:sz w:val="32"/>
          <w:szCs w:val="32"/>
          <w:lang w:val="en-US"/>
        </w:rPr>
      </w:pPr>
      <w:r>
        <w:rPr>
          <w:rFonts w:hint="eastAsia" w:ascii="黑体" w:hAnsi="黑体" w:eastAsia="黑体" w:cs="黑体"/>
          <w:kern w:val="0"/>
          <w:sz w:val="32"/>
          <w:szCs w:val="32"/>
          <w:lang w:val="en-US" w:eastAsia="zh-CN"/>
        </w:rPr>
        <w:t>部门职能</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市商务局贯彻党中央关于国内外贸易、国际经济合作、外商投资和口岸工作的方针政策，落实自治区党委、市委相关决策部署，在履行职责过程中坚持和加强党对国内外贸易、国际经济合作、外商投资和口岸管理工作的集中统一领导。主要职责是：</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贯彻执行国家、自治区关于国内外贸易、国际经济合作、外商投资和口岸管理工作的法律法规及有关政策。负责拟订相关政策。研究商务发展趋势，制定发展规划并组织实施。指导旗（市、区）开展有关工作。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商贸流通产业管理工作。负责推进全市商贸流通产业结构调整，指导商贸服务业和社区商业发展，提出促进中小商贸企业发展的政策建议，推动商贸流通标准化和连锁经营、商业特许经营、物流配送、电子商务等现代流通方式的发展。</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市场体系建设工作。研究提出促进全市市场体系建设的措施方法，促进城乡市场发展。指导大宗产品批发市场规划和城市商业网点规划，推进商业体系建设工作。推进农村市场体系建设，组织实施农村现代流通网络工程，推进电子商务进农村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牵头协调整顿和规范全市市场经济秩序。指导商业信用销售，配合推动市场诚信公共服务平台建设。按照有关规定对特殊流通行业进行监督管理。负责督促指导商贸服务业、大型商贸（会展）活动场所的安全生产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重要消费品市场调控工作。组织实施全市重要消费品市场调控和重要生产资料流通管理，建立健全生活必需品市场供应应急管理机制。监测分析全市市场运行、商品供求状况。调查分析商品价格信息，进行预测预警和信息引导。负责肉类等重要商品储备管理和市场调控工作。依法对成品油流通进行监督管理。</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负责对外贸易管理工作。拟订全市促进外贸增长方式转变的政策措施，指导全市贸易促进活动和外贸促进体系建设，依法组织国家、自治区对外贸易相关商品、技术进出口计划管理。</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进出口贸易工作。执行国家、自治区对外技术贸易、出口管制以及鼓励技术、成套设备进出口贸易政策和加工贸易管理办法。推进进出口贸易标准化工作。依法监督技术引进、设备出口、国家限制出口技术的工作。负责自治区商务厅授权的进出口商品许可证管理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负责服务贸易管理工作。执行国家、自治区服务贸易发展规划并开展相关工作。落实国家、自治区促进服务出口和服务外包发展规划、政策的措施。负责全市会展业促进工作。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根据授权代表市人民政府同外国进行经贸谈判并签署有关文件，处理国别（地区）地方间经贸关系中的重要事务。联系外国驻华官方商务机构、外商驻呼伦贝尔市代表机构和中国驻外使（领）馆经商处。</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全市对外经济技术合作工作。加强与俄罗斯、蒙古国和“一带一路”沿线国家的经贸合作。依法管理对外承包工程、外派劳务、对外投资开办企业（金融企业除外）。承担国家、自治区安排的对外援助工作事项。</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指导和管理全市外商投资工作。会同有关部门制定利用外商投资的政策措施和发展规划。依法承担外商投资企业设立、变更等事项的备案工作。负责外商投资促进相关工作。依法监督检查外商投资企业执行有关法律法规规章、合同章程的情况并协调解决有关问题。指导国家级经济技术开发区、边境（跨境）经济合作区的有关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负责口岸管理工作。提出推动发展口岸经济的政策建议。负责电子口岸服务平台建设。组织协调口岸开放、建设、运行、关闭等工作。指导各地建设口岸基础设施、查验配套设施和指定口岸工作。组织推动口岸“大通关”建设，优化口岸营商环境，协调口岸通关中各部门的工作关系。指导全市口岸信息化建设工作。指导口岸区域公共安全事件应急处置的相关工作。负责口岸运行监控和动态评估，监测分析口岸数据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完成市委、市政府和上级业务部门交办的其他工作。</w:t>
      </w:r>
    </w:p>
    <w:p>
      <w:pPr>
        <w:widowControl/>
        <w:numPr>
          <w:ilvl w:val="0"/>
          <w:numId w:val="9"/>
        </w:numPr>
        <w:autoSpaceDE w:val="0"/>
        <w:adjustRightInd w:val="0"/>
        <w:spacing w:before="0" w:beforeAutospacing="0" w:after="0" w:afterAutospacing="0" w:line="576" w:lineRule="exact"/>
        <w:ind w:left="0" w:leftChars="0" w:right="0" w:firstLine="420" w:firstLineChars="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有关职责分工。</w:t>
      </w:r>
    </w:p>
    <w:p>
      <w:pPr>
        <w:widowControl/>
        <w:wordWrap/>
        <w:autoSpaceDE w:val="0"/>
        <w:adjustRightInd w:val="0"/>
        <w:snapToGrid/>
        <w:spacing w:before="0" w:beforeAutospacing="0" w:after="0" w:afterAutospacing="0" w:line="576" w:lineRule="exact"/>
        <w:ind w:right="0" w:firstLine="640" w:firstLineChars="200"/>
        <w:jc w:val="both"/>
        <w:textAlignment w:val="auto"/>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1.与市场监督管理局在市场经济秩序、药品流通管理、酒类流通等方面的职责分工。（1）市商务局负责牵头推进市场诚信公共服务平台建设等市场经济秩序相关工作。负责拟订酒类流通发展规划和政策。（2）市市场监管局依据上级授权负责经营者集中反垄断执法，承担打击侵犯知识产权和制售假冒伪劣商品等工作。负责酒类流通监管和酒类食品安全。（3）市商务局负责拟订药品流通发展规划和政策。市市场监管局在药品监督管理工作中，配合执行药品流通发展规划和政策。</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2.与市发改委（市粮食和物资储备局）、市供销合作社联合社在重要消费品储备管理方面的职责分工。（1）市商务局负责肉类储备管理。（2）市供销合作社联合社负责边销茶储备管理。（3）市发改委（市粮食和物资储备局）负责其他重要消费品储备管理。</w:t>
      </w:r>
    </w:p>
    <w:p>
      <w:pPr>
        <w:widowControl/>
        <w:numPr>
          <w:ilvl w:val="0"/>
          <w:numId w:val="10"/>
        </w:numPr>
        <w:autoSpaceDE w:val="0"/>
        <w:adjustRightInd w:val="0"/>
        <w:spacing w:before="0" w:beforeAutospacing="0" w:after="0" w:afterAutospacing="0" w:line="576" w:lineRule="exact"/>
        <w:ind w:left="0" w:leftChars="0" w:right="0" w:firstLine="420" w:firstLineChars="0"/>
        <w:jc w:val="both"/>
        <w:rPr>
          <w:rFonts w:hint="eastAsia" w:ascii="黑体" w:hAnsi="黑体" w:eastAsia="黑体" w:cs="黑体"/>
          <w:sz w:val="32"/>
          <w:szCs w:val="32"/>
          <w:lang w:val="en-US"/>
        </w:rPr>
      </w:pPr>
      <w:r>
        <w:rPr>
          <w:rFonts w:hint="eastAsia" w:ascii="黑体" w:hAnsi="黑体" w:eastAsia="黑体" w:cs="黑体"/>
          <w:kern w:val="0"/>
          <w:sz w:val="32"/>
          <w:szCs w:val="32"/>
          <w:lang w:val="en-US" w:eastAsia="zh-CN"/>
        </w:rPr>
        <w:t>机构设置及单位构成情况</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呼伦贝尔市商务局（所属全额预算事业单位呼伦贝尔市电子商务信息中心、呼伦贝尔市向北开放经济联络处）行政编制23名，其中：处级领导职数3名（1正2副），科级领导职数16名（10正6副）；工勤编制3名、事业编制28名。年末实有在职人员50人（行政23人、工勤3人、市电子商务信息中心13人、市向北开放经济联络处11人）、机关退休人员25人。</w:t>
      </w:r>
    </w:p>
    <w:p>
      <w:pPr>
        <w:widowControl/>
        <w:autoSpaceDE w:val="0"/>
        <w:adjustRightInd w:val="0"/>
        <w:spacing w:before="0" w:beforeAutospacing="0" w:after="0" w:afterAutospacing="0" w:line="576" w:lineRule="exact"/>
        <w:ind w:left="0" w:right="0" w:firstLine="600"/>
        <w:jc w:val="both"/>
        <w:rPr>
          <w:rFonts w:hint="eastAsia" w:ascii="黑体" w:hAnsi="黑体" w:eastAsia="黑体" w:cs="黑体"/>
          <w:b w:val="0"/>
          <w:bCs/>
          <w:sz w:val="32"/>
          <w:szCs w:val="32"/>
          <w:lang w:val="en-US"/>
        </w:rPr>
      </w:pPr>
      <w:r>
        <w:rPr>
          <w:rFonts w:hint="eastAsia" w:ascii="黑体" w:hAnsi="黑体" w:eastAsia="黑体" w:cs="黑体"/>
          <w:b w:val="0"/>
          <w:bCs/>
          <w:kern w:val="0"/>
          <w:sz w:val="32"/>
          <w:szCs w:val="32"/>
          <w:lang w:val="en-US" w:eastAsia="zh-CN"/>
        </w:rPr>
        <w:t>第二部分 2018年度部门决算情况说明</w:t>
      </w:r>
    </w:p>
    <w:p>
      <w:pPr>
        <w:widowControl/>
        <w:numPr>
          <w:ilvl w:val="0"/>
          <w:numId w:val="11"/>
        </w:numPr>
        <w:autoSpaceDE w:val="0"/>
        <w:adjustRightInd w:val="0"/>
        <w:spacing w:before="0" w:beforeAutospacing="0" w:after="0" w:afterAutospacing="0" w:line="576" w:lineRule="exact"/>
        <w:ind w:left="0" w:leftChars="0" w:right="0" w:firstLine="420" w:firstLineChars="0"/>
        <w:jc w:val="both"/>
        <w:rPr>
          <w:rFonts w:hint="eastAsia" w:ascii="黑体" w:hAnsi="黑体" w:eastAsia="黑体" w:cs="黑体"/>
          <w:sz w:val="32"/>
          <w:szCs w:val="32"/>
          <w:lang w:val="en-US"/>
        </w:rPr>
      </w:pPr>
      <w:r>
        <w:rPr>
          <w:rFonts w:hint="eastAsia" w:ascii="黑体" w:hAnsi="黑体" w:eastAsia="黑体" w:cs="黑体"/>
          <w:kern w:val="0"/>
          <w:sz w:val="32"/>
          <w:szCs w:val="32"/>
          <w:lang w:val="en-US" w:eastAsia="zh-CN"/>
        </w:rPr>
        <w:t>关于2018年度预算执行情况分析</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kern w:val="0"/>
          <w:sz w:val="32"/>
          <w:szCs w:val="32"/>
          <w:lang w:val="en-US" w:eastAsia="zh-CN"/>
        </w:rPr>
      </w:pPr>
      <w:r>
        <w:rPr>
          <w:rFonts w:hint="eastAsia" w:ascii="仿宋_GB2312" w:hAnsi="Times New Roman" w:eastAsia="仿宋_GB2312" w:cs="仿宋_GB2312"/>
          <w:kern w:val="0"/>
          <w:sz w:val="32"/>
          <w:szCs w:val="32"/>
          <w:lang w:val="en-US" w:eastAsia="zh-CN"/>
        </w:rPr>
        <w:t>2018年收入支出决算总表中收入总计1219.94万元，其中财政拨款收入1219.39万元。与2019年年初预算相比，收入总计增加346.59万元，增长39.69%；财政拨款收入增加346.04万元，增长39.62%。主要原因：一是2018年追加专项资金246.91万元，其中2017年内贸流通服务业发展专项资金65.39万元、2017年口岸基础设施建设补助资金59.92万元、2017年外经贸发展专项资金121.6万元；二是追加人员经费62.2万元，其中2018年我部门养老保险出准备期，追加养老保险、职业年金等21.77万元；2018年艰苦边远津贴、基本工资调标，追加经费19.69万元；2018年人员变动大，零星增资20.74万元；三是因业务需要申请追加工作经费36.93万元。</w:t>
      </w:r>
    </w:p>
    <w:p>
      <w:pPr>
        <w:widowControl/>
        <w:numPr>
          <w:ilvl w:val="0"/>
          <w:numId w:val="12"/>
        </w:numPr>
        <w:autoSpaceDE w:val="0"/>
        <w:adjustRightInd w:val="0"/>
        <w:spacing w:before="0" w:beforeAutospacing="0" w:after="0" w:afterAutospacing="0" w:line="576" w:lineRule="exact"/>
        <w:ind w:left="0" w:leftChars="0" w:right="0" w:firstLine="420" w:firstLineChars="0"/>
        <w:jc w:val="both"/>
        <w:rPr>
          <w:rFonts w:hint="eastAsia" w:ascii="黑体" w:hAnsi="黑体" w:eastAsia="黑体" w:cs="黑体"/>
          <w:sz w:val="32"/>
          <w:szCs w:val="32"/>
          <w:lang w:val="en-US"/>
        </w:rPr>
      </w:pPr>
      <w:r>
        <w:rPr>
          <w:rFonts w:hint="eastAsia" w:ascii="黑体" w:hAnsi="黑体" w:eastAsia="黑体" w:cs="黑体"/>
          <w:kern w:val="0"/>
          <w:sz w:val="32"/>
          <w:szCs w:val="32"/>
          <w:lang w:val="en-US" w:eastAsia="zh-CN"/>
        </w:rPr>
        <w:t>关于2018年度决算情况说明</w:t>
      </w:r>
    </w:p>
    <w:p>
      <w:pPr>
        <w:widowControl/>
        <w:numPr>
          <w:ilvl w:val="0"/>
          <w:numId w:val="13"/>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楷体" w:cs="Times New Roman"/>
          <w:b/>
          <w:bCs/>
          <w:sz w:val="32"/>
          <w:szCs w:val="32"/>
          <w:lang w:val="en-US"/>
        </w:rPr>
      </w:pPr>
      <w:r>
        <w:rPr>
          <w:rFonts w:hint="eastAsia" w:ascii="楷体" w:hAnsi="楷体" w:eastAsia="楷体" w:cs="楷体"/>
          <w:b/>
          <w:bCs/>
          <w:kern w:val="0"/>
          <w:sz w:val="32"/>
          <w:szCs w:val="32"/>
          <w:lang w:val="en-US" w:eastAsia="zh-CN"/>
        </w:rPr>
        <w:t>关于收支情况总体说明</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color w:val="000000"/>
          <w:kern w:val="0"/>
          <w:sz w:val="32"/>
          <w:szCs w:val="32"/>
          <w:lang w:val="en-US" w:eastAsia="zh-CN"/>
        </w:rPr>
      </w:pPr>
      <w:r>
        <w:rPr>
          <w:rFonts w:hint="eastAsia" w:ascii="仿宋_GB2312" w:hAnsi="Times New Roman" w:eastAsia="仿宋_GB2312" w:cs="仿宋_GB2312"/>
          <w:kern w:val="0"/>
          <w:sz w:val="32"/>
          <w:szCs w:val="32"/>
          <w:lang w:val="en-US" w:eastAsia="zh-CN"/>
        </w:rPr>
        <w:t>本部门2018年度收入总计1,452.32万元，其中：本年收入合计1,219.94万元，年初结转和结余232.38万元；支出总计1,452.32万元，其中：年末结转和结余199.73万元。与2017年度相比，收入总计增加100.66万元，增长7.45%；支出总计增加100.66万元，增长7.45%。主要原因：一是</w:t>
      </w:r>
      <w:r>
        <w:rPr>
          <w:rFonts w:hint="eastAsia" w:ascii="仿宋_GB2312" w:hAnsi="Times New Roman" w:eastAsia="仿宋_GB2312" w:cs="仿宋_GB2312"/>
          <w:color w:val="000000"/>
          <w:kern w:val="0"/>
          <w:sz w:val="32"/>
          <w:szCs w:val="32"/>
          <w:lang w:val="en-US" w:eastAsia="zh-CN"/>
        </w:rPr>
        <w:t>2018年我部门养老保险出准备期，追加养老保险、职业年金等经费；二是2018年艰苦边远津贴、基本工资调标，追加人员经费；三是2018年人员变动大，零星增加人员经费；四是因业务需要申请追加工作经费。</w:t>
      </w:r>
    </w:p>
    <w:p>
      <w:pPr>
        <w:widowControl/>
        <w:numPr>
          <w:ilvl w:val="0"/>
          <w:numId w:val="14"/>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楷体" w:cs="Times New Roman"/>
          <w:b/>
          <w:bCs/>
          <w:sz w:val="32"/>
          <w:szCs w:val="32"/>
          <w:lang w:val="en-US"/>
        </w:rPr>
      </w:pPr>
      <w:r>
        <w:rPr>
          <w:rFonts w:hint="eastAsia" w:ascii="楷体" w:hAnsi="楷体" w:eastAsia="楷体" w:cs="楷体"/>
          <w:b/>
          <w:bCs/>
          <w:kern w:val="0"/>
          <w:sz w:val="32"/>
          <w:szCs w:val="32"/>
          <w:lang w:val="en-US" w:eastAsia="zh-CN"/>
        </w:rPr>
        <w:t>关于</w:t>
      </w:r>
      <w:r>
        <w:rPr>
          <w:rFonts w:hint="eastAsia" w:ascii="楷体" w:hAnsi="Times New Roman" w:eastAsia="楷体" w:cs="楷体"/>
          <w:b/>
          <w:bCs/>
          <w:kern w:val="0"/>
          <w:sz w:val="32"/>
          <w:szCs w:val="32"/>
          <w:lang w:val="en-US" w:eastAsia="zh-CN"/>
        </w:rPr>
        <w:t>2018年度收入决算情况说明</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本部门2018年度收入合计1,219.94万元，其中：财政拨款收入1,219.39万元，占99.95%；其他收入0.55万元，占0.05%。</w:t>
      </w:r>
    </w:p>
    <w:p>
      <w:pPr>
        <w:widowControl/>
        <w:numPr>
          <w:ilvl w:val="0"/>
          <w:numId w:val="15"/>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楷体" w:cs="Times New Roman"/>
          <w:b/>
          <w:bCs/>
          <w:sz w:val="32"/>
          <w:szCs w:val="32"/>
          <w:lang w:val="en-US"/>
        </w:rPr>
      </w:pPr>
      <w:r>
        <w:rPr>
          <w:rFonts w:hint="eastAsia" w:ascii="楷体" w:hAnsi="楷体" w:eastAsia="楷体" w:cs="楷体"/>
          <w:b/>
          <w:bCs/>
          <w:kern w:val="0"/>
          <w:sz w:val="32"/>
          <w:szCs w:val="32"/>
          <w:lang w:val="en-US" w:eastAsia="zh-CN"/>
        </w:rPr>
        <w:t>关于</w:t>
      </w:r>
      <w:r>
        <w:rPr>
          <w:rFonts w:hint="eastAsia" w:ascii="楷体" w:hAnsi="Times New Roman" w:eastAsia="楷体" w:cs="楷体"/>
          <w:b/>
          <w:bCs/>
          <w:kern w:val="0"/>
          <w:sz w:val="32"/>
          <w:szCs w:val="32"/>
          <w:lang w:val="en-US" w:eastAsia="zh-CN"/>
        </w:rPr>
        <w:t>2018年度支出决算情况说明</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本部门2018年度支出合计1,252.59万元，其中：基本支出898.84万元，占71.76%；项目支出353.75万元，占28.24%。</w:t>
      </w:r>
    </w:p>
    <w:p>
      <w:pPr>
        <w:widowControl/>
        <w:numPr>
          <w:ilvl w:val="0"/>
          <w:numId w:val="16"/>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楷体" w:cs="Times New Roman"/>
          <w:b/>
          <w:bCs/>
          <w:sz w:val="32"/>
          <w:szCs w:val="32"/>
          <w:lang w:val="en-US"/>
        </w:rPr>
      </w:pPr>
      <w:r>
        <w:rPr>
          <w:rFonts w:hint="eastAsia" w:ascii="楷体" w:hAnsi="楷体" w:eastAsia="楷体" w:cs="楷体"/>
          <w:b/>
          <w:bCs/>
          <w:kern w:val="0"/>
          <w:sz w:val="32"/>
          <w:szCs w:val="32"/>
          <w:lang w:val="en-US" w:eastAsia="zh-CN"/>
        </w:rPr>
        <w:t>关于</w:t>
      </w:r>
      <w:r>
        <w:rPr>
          <w:rFonts w:hint="eastAsia" w:ascii="楷体" w:hAnsi="Times New Roman" w:eastAsia="楷体" w:cs="楷体"/>
          <w:b/>
          <w:bCs/>
          <w:kern w:val="0"/>
          <w:sz w:val="32"/>
          <w:szCs w:val="32"/>
          <w:lang w:val="en-US" w:eastAsia="zh-CN"/>
        </w:rPr>
        <w:t>2018年度财政拨款收入支出决算总体情况说明</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部门2018年度财政拨款收入总计1,451.77万元，其中：年初结转和结余232.38万元；支出总计1,451.77万元，其中：年末结转和结余199.73万元。与2017年度相比，收入增加100.65万元，增长（下降）7.45%；支出增加100.65万元，增长7.45%。主要原因：一是</w:t>
      </w:r>
      <w:r>
        <w:rPr>
          <w:rFonts w:hint="eastAsia" w:ascii="仿宋_GB2312" w:hAnsi="Times New Roman" w:eastAsia="仿宋_GB2312" w:cs="仿宋_GB2312"/>
          <w:color w:val="000000"/>
          <w:kern w:val="0"/>
          <w:sz w:val="32"/>
          <w:szCs w:val="32"/>
          <w:lang w:val="en-US" w:eastAsia="zh-CN"/>
        </w:rPr>
        <w:t>2018年我部门养老保险出准备期，追加养老保险、职业年金等经费；二是2018年艰苦边远津贴、基本工资调标，追加经费人员经费；三是2018年人员变动大，零星增加人员经费；四是因业务需要申请追加工作经费。</w:t>
      </w:r>
    </w:p>
    <w:p>
      <w:pPr>
        <w:widowControl/>
        <w:numPr>
          <w:ilvl w:val="0"/>
          <w:numId w:val="17"/>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楷体" w:cs="Times New Roman"/>
          <w:b/>
          <w:bCs/>
          <w:sz w:val="32"/>
          <w:szCs w:val="32"/>
          <w:lang w:val="en-US"/>
        </w:rPr>
      </w:pPr>
      <w:r>
        <w:rPr>
          <w:rFonts w:hint="eastAsia" w:ascii="楷体" w:hAnsi="楷体" w:eastAsia="楷体" w:cs="楷体"/>
          <w:b/>
          <w:bCs/>
          <w:kern w:val="0"/>
          <w:sz w:val="32"/>
          <w:szCs w:val="32"/>
          <w:lang w:val="en-US" w:eastAsia="zh-CN"/>
        </w:rPr>
        <w:t>关于</w:t>
      </w:r>
      <w:r>
        <w:rPr>
          <w:rFonts w:hint="eastAsia" w:ascii="楷体" w:hAnsi="Times New Roman" w:eastAsia="楷体" w:cs="楷体"/>
          <w:b/>
          <w:bCs/>
          <w:kern w:val="0"/>
          <w:sz w:val="32"/>
          <w:szCs w:val="32"/>
          <w:lang w:val="en-US" w:eastAsia="zh-CN"/>
        </w:rPr>
        <w:t>2018年度一般公共预算财政拨款支出决算情况说明</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本部门2018年度一般公共预算财政拨款支出合计1,252.04万元，其中：基本支出898.29万元，占71.75%；项目支出353.75万元，占28.25%。</w:t>
      </w:r>
    </w:p>
    <w:p>
      <w:pPr>
        <w:widowControl/>
        <w:numPr>
          <w:ilvl w:val="0"/>
          <w:numId w:val="18"/>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楷体" w:cs="Times New Roman"/>
          <w:b/>
          <w:bCs/>
          <w:sz w:val="32"/>
          <w:szCs w:val="32"/>
          <w:lang w:val="en-US"/>
        </w:rPr>
      </w:pPr>
      <w:r>
        <w:rPr>
          <w:rFonts w:hint="eastAsia" w:ascii="楷体" w:hAnsi="楷体" w:eastAsia="楷体" w:cs="楷体"/>
          <w:b/>
          <w:bCs/>
          <w:kern w:val="0"/>
          <w:sz w:val="32"/>
          <w:szCs w:val="32"/>
          <w:lang w:val="en-US" w:eastAsia="zh-CN"/>
        </w:rPr>
        <w:t>关于</w:t>
      </w:r>
      <w:r>
        <w:rPr>
          <w:rFonts w:hint="eastAsia" w:ascii="楷体" w:hAnsi="Times New Roman" w:eastAsia="楷体" w:cs="楷体"/>
          <w:b/>
          <w:bCs/>
          <w:kern w:val="0"/>
          <w:sz w:val="32"/>
          <w:szCs w:val="32"/>
          <w:lang w:val="en-US" w:eastAsia="zh-CN"/>
        </w:rPr>
        <w:t>2018年度一般公共预算财政拨款基本支出决算情况说明</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部门2018年度一般公共预算财政拨款基本支出898.29万元，其中：人员经费745.35万元，主要包括：基本工资、津贴补贴、奖金、绩效工资、机关事业单位基本养老保险费、职业年金缴费、职工基本医疗保险缴、公务员医疗补助缴费、其他社会保障缴费、住房公积金、其他工资福利支出、退休费，较上年增加55.16万元，主要原因是：一是</w:t>
      </w:r>
      <w:r>
        <w:rPr>
          <w:rFonts w:hint="eastAsia" w:ascii="仿宋_GB2312" w:hAnsi="Times New Roman" w:eastAsia="仿宋_GB2312" w:cs="仿宋_GB2312"/>
          <w:color w:val="000000"/>
          <w:kern w:val="0"/>
          <w:sz w:val="32"/>
          <w:szCs w:val="32"/>
          <w:lang w:val="en-US" w:eastAsia="zh-CN"/>
        </w:rPr>
        <w:t>2018年我部门机关养老保险出准备期，缴纳养老保险、职业年金，2017年未出准备期，没有缴纳养老保险、职业年金；二是2018年艰苦边远津贴、基本工资调标，增资部分及相应险费较2017年有所增长；三是2018年人员变动大，人员支出较2017年有所增长</w:t>
      </w:r>
      <w:r>
        <w:rPr>
          <w:rFonts w:hint="eastAsia" w:ascii="仿宋_GB2312" w:hAnsi="Times New Roman" w:eastAsia="仿宋_GB2312" w:cs="仿宋_GB2312"/>
          <w:kern w:val="0"/>
          <w:sz w:val="32"/>
          <w:szCs w:val="32"/>
          <w:lang w:val="en-US" w:eastAsia="zh-CN"/>
        </w:rPr>
        <w:t>；公用经费152.94万元，主要包括：办公费、印刷费、咨询费、水费、电费、邮电费、取暖费、差旅费、会议费、培训费、因公出国（境）费用、公务接待费、劳务费、工会经费、公务用车运行维护费、其他交通费用，较上年增加81.42万元，主要原因是：2018年专项业务费公用经费决算按基本支出列支，2017年专项业务费公用经费决算按项目支出列支，导致2018年一般公共预算财政拨款基本支出公用经费较2017年有所增加。</w:t>
      </w:r>
    </w:p>
    <w:p>
      <w:pPr>
        <w:widowControl/>
        <w:numPr>
          <w:ilvl w:val="0"/>
          <w:numId w:val="19"/>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楷体" w:cs="Times New Roman"/>
          <w:b/>
          <w:bCs/>
          <w:sz w:val="32"/>
          <w:szCs w:val="32"/>
          <w:lang w:val="en-US"/>
        </w:rPr>
      </w:pPr>
      <w:r>
        <w:rPr>
          <w:rFonts w:hint="eastAsia" w:ascii="楷体" w:hAnsi="楷体" w:eastAsia="楷体" w:cs="楷体"/>
          <w:b/>
          <w:bCs/>
          <w:kern w:val="0"/>
          <w:sz w:val="32"/>
          <w:szCs w:val="32"/>
          <w:lang w:val="en-US" w:eastAsia="zh-CN"/>
        </w:rPr>
        <w:t>关于</w:t>
      </w:r>
      <w:r>
        <w:rPr>
          <w:rFonts w:hint="eastAsia" w:ascii="楷体" w:hAnsi="Times New Roman" w:eastAsia="楷体" w:cs="楷体"/>
          <w:b/>
          <w:bCs/>
          <w:kern w:val="0"/>
          <w:sz w:val="32"/>
          <w:szCs w:val="32"/>
          <w:lang w:val="en-US" w:eastAsia="zh-CN"/>
        </w:rPr>
        <w:t>2018年度财政拨款“</w:t>
      </w:r>
      <w:r>
        <w:rPr>
          <w:rFonts w:hint="eastAsia" w:ascii="楷体" w:hAnsi="楷体" w:eastAsia="楷体" w:cs="楷体"/>
          <w:b/>
          <w:bCs/>
          <w:kern w:val="0"/>
          <w:sz w:val="32"/>
          <w:szCs w:val="32"/>
          <w:lang w:val="en-US" w:eastAsia="zh-CN"/>
        </w:rPr>
        <w:t>三公</w:t>
      </w:r>
      <w:r>
        <w:rPr>
          <w:rFonts w:hint="eastAsia" w:ascii="楷体" w:hAnsi="Times New Roman" w:eastAsia="楷体" w:cs="楷体"/>
          <w:b/>
          <w:bCs/>
          <w:kern w:val="0"/>
          <w:sz w:val="32"/>
          <w:szCs w:val="32"/>
          <w:lang w:val="en-US" w:eastAsia="zh-CN"/>
        </w:rPr>
        <w:t>”</w:t>
      </w:r>
      <w:r>
        <w:rPr>
          <w:rFonts w:hint="eastAsia" w:ascii="楷体" w:hAnsi="楷体" w:eastAsia="楷体" w:cs="楷体"/>
          <w:b/>
          <w:bCs/>
          <w:kern w:val="0"/>
          <w:sz w:val="32"/>
          <w:szCs w:val="32"/>
          <w:lang w:val="en-US" w:eastAsia="zh-CN"/>
        </w:rPr>
        <w:t>经费支出决算情况说明</w:t>
      </w:r>
    </w:p>
    <w:p>
      <w:pPr>
        <w:widowControl/>
        <w:numPr>
          <w:ilvl w:val="0"/>
          <w:numId w:val="20"/>
        </w:numPr>
        <w:wordWrap/>
        <w:autoSpaceDE w:val="0"/>
        <w:adjustRightInd w:val="0"/>
        <w:snapToGrid/>
        <w:spacing w:before="0" w:beforeAutospacing="0" w:after="0" w:afterAutospacing="0" w:line="576" w:lineRule="exact"/>
        <w:ind w:left="0" w:leftChars="0" w:right="0" w:firstLine="640" w:firstLineChars="200"/>
        <w:jc w:val="both"/>
        <w:textAlignment w:val="auto"/>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“三公”经费财政拨款支出决算总体情况说明</w:t>
      </w:r>
    </w:p>
    <w:p>
      <w:pPr>
        <w:widowControl/>
        <w:autoSpaceDE w:val="0"/>
        <w:adjustRightInd w:val="0"/>
        <w:spacing w:before="0" w:beforeAutospacing="0" w:after="0" w:afterAutospacing="0" w:line="576" w:lineRule="exact"/>
        <w:ind w:left="0" w:right="0" w:firstLine="601"/>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部门2018年度财政拨款“三公”经费预算为138.00万元，支出决算为39.43万元，完成预算的28.57%，其中：因公出国（境）费支出决算为30.51万元，完成预算的43.59%；公务用车购置及运行维护费支出决算为3.80万元，完成预算的8.64%；公务接待费支出决算为5.12万元，完成预算的21.33%。2018年度财政拨款“三公”经费支出决算与预算差异情况的原因：一是2018年因公出国（境）批次较预计少；二是2018年公务出行多选择租车，导致公务用车运行维护费较预算少，所属事业单位处置一辆公务用车，年度发生公车运行维护费并入其他交通费用核算；三是2018年公务接待批次较预计少。</w:t>
      </w:r>
    </w:p>
    <w:p>
      <w:pPr>
        <w:widowControl/>
        <w:numPr>
          <w:ilvl w:val="0"/>
          <w:numId w:val="21"/>
        </w:numPr>
        <w:wordWrap/>
        <w:autoSpaceDE w:val="0"/>
        <w:adjustRightInd w:val="0"/>
        <w:snapToGrid/>
        <w:spacing w:before="0" w:beforeAutospacing="0" w:after="0" w:afterAutospacing="0" w:line="576" w:lineRule="exact"/>
        <w:ind w:left="0" w:leftChars="0" w:right="0" w:firstLine="640" w:firstLineChars="200"/>
        <w:jc w:val="both"/>
        <w:textAlignment w:val="auto"/>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“三公”经费财政拨款支出决算具体情况说明</w:t>
      </w:r>
    </w:p>
    <w:p>
      <w:pPr>
        <w:widowControl/>
        <w:autoSpaceDE w:val="0"/>
        <w:adjustRightInd w:val="0"/>
        <w:spacing w:before="0" w:beforeAutospacing="0" w:after="0" w:afterAutospacing="0" w:line="576" w:lineRule="exact"/>
        <w:ind w:left="0" w:right="0" w:firstLine="601"/>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本部门2018年度财政拨款“三公”经费支出39.43万元，因公出国（境）费支出30.51万元，占77.38%；公务用车购置及运行维护费支出3.80万元，占9.64%；公务接待费支出5.12万元，占12.98%。具体情况如下：</w:t>
      </w:r>
    </w:p>
    <w:p>
      <w:pPr>
        <w:widowControl/>
        <w:autoSpaceDE w:val="0"/>
        <w:adjustRightInd w:val="0"/>
        <w:spacing w:before="0" w:beforeAutospacing="0" w:after="0" w:afterAutospacing="0" w:line="576" w:lineRule="exact"/>
        <w:ind w:left="0" w:right="0" w:firstLine="601"/>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b/>
          <w:kern w:val="0"/>
          <w:sz w:val="32"/>
          <w:szCs w:val="32"/>
          <w:lang w:val="en-US" w:eastAsia="zh-CN"/>
        </w:rPr>
        <w:t>因公出国（境）费支出</w:t>
      </w:r>
      <w:r>
        <w:rPr>
          <w:rFonts w:hint="eastAsia" w:ascii="仿宋_GB2312" w:hAnsi="Times New Roman" w:eastAsia="仿宋_GB2312" w:cs="仿宋_GB2312"/>
          <w:kern w:val="0"/>
          <w:sz w:val="32"/>
          <w:szCs w:val="32"/>
          <w:lang w:val="en-US" w:eastAsia="zh-CN"/>
        </w:rPr>
        <w:t>30.51万元。全年因公出国（境）团组13个，累计28人次。主要用于</w:t>
      </w:r>
      <w:r>
        <w:rPr>
          <w:rFonts w:hint="eastAsia" w:ascii="仿宋_GB2312" w:hAnsi="Times New Roman" w:eastAsia="仿宋_GB2312" w:cs="仿宋_GB2312"/>
          <w:b/>
          <w:kern w:val="0"/>
          <w:sz w:val="32"/>
          <w:szCs w:val="32"/>
          <w:lang w:val="en-US" w:eastAsia="zh-CN"/>
        </w:rPr>
        <w:t>一是</w:t>
      </w:r>
      <w:r>
        <w:rPr>
          <w:rFonts w:hint="eastAsia" w:ascii="仿宋_GB2312" w:hAnsi="Times New Roman" w:eastAsia="仿宋_GB2312" w:cs="仿宋_GB2312"/>
          <w:kern w:val="0"/>
          <w:sz w:val="32"/>
          <w:szCs w:val="32"/>
          <w:lang w:val="en-US" w:eastAsia="zh-CN"/>
        </w:rPr>
        <w:t>参加“2018年度赤塔建材展会”；</w:t>
      </w:r>
      <w:r>
        <w:rPr>
          <w:rFonts w:hint="eastAsia" w:ascii="仿宋_GB2312" w:hAnsi="Times New Roman" w:eastAsia="仿宋_GB2312" w:cs="仿宋_GB2312"/>
          <w:b/>
          <w:kern w:val="0"/>
          <w:sz w:val="32"/>
          <w:szCs w:val="32"/>
          <w:lang w:val="en-US" w:eastAsia="zh-CN"/>
        </w:rPr>
        <w:t>二是</w:t>
      </w:r>
      <w:r>
        <w:rPr>
          <w:rFonts w:hint="eastAsia" w:ascii="仿宋_GB2312" w:hAnsi="Times New Roman" w:eastAsia="仿宋_GB2312" w:cs="仿宋_GB2312"/>
          <w:kern w:val="0"/>
          <w:sz w:val="32"/>
          <w:szCs w:val="32"/>
          <w:lang w:val="en-US" w:eastAsia="zh-CN"/>
        </w:rPr>
        <w:t>参加“克拉斯诺亚尔斯克第十五届经济论坛”、与伊尔库茨克政府洽谈举办经贸会事宜；</w:t>
      </w:r>
      <w:r>
        <w:rPr>
          <w:rFonts w:hint="eastAsia" w:ascii="仿宋_GB2312" w:hAnsi="Times New Roman" w:eastAsia="仿宋_GB2312" w:cs="仿宋_GB2312"/>
          <w:b/>
          <w:kern w:val="0"/>
          <w:sz w:val="32"/>
          <w:szCs w:val="32"/>
          <w:lang w:val="en-US" w:eastAsia="zh-CN"/>
        </w:rPr>
        <w:t>三是</w:t>
      </w:r>
      <w:r>
        <w:rPr>
          <w:rFonts w:hint="eastAsia" w:ascii="仿宋_GB2312" w:hAnsi="Times New Roman" w:eastAsia="仿宋_GB2312" w:cs="仿宋_GB2312"/>
          <w:kern w:val="0"/>
          <w:sz w:val="32"/>
          <w:szCs w:val="32"/>
          <w:lang w:val="en-US" w:eastAsia="zh-CN"/>
        </w:rPr>
        <w:t>参加“哈巴罗夫斯克市国际商务日活动”；</w:t>
      </w:r>
      <w:r>
        <w:rPr>
          <w:rFonts w:hint="eastAsia" w:ascii="仿宋_GB2312" w:hAnsi="Times New Roman" w:eastAsia="仿宋_GB2312" w:cs="仿宋_GB2312"/>
          <w:b/>
          <w:kern w:val="0"/>
          <w:sz w:val="32"/>
          <w:szCs w:val="32"/>
          <w:lang w:val="en-US" w:eastAsia="zh-CN"/>
        </w:rPr>
        <w:t>四是</w:t>
      </w:r>
      <w:r>
        <w:rPr>
          <w:rFonts w:hint="eastAsia" w:ascii="仿宋_GB2312" w:hAnsi="Times New Roman" w:eastAsia="仿宋_GB2312" w:cs="仿宋_GB2312"/>
          <w:kern w:val="0"/>
          <w:sz w:val="32"/>
          <w:szCs w:val="32"/>
          <w:lang w:val="en-US" w:eastAsia="zh-CN"/>
        </w:rPr>
        <w:t>组织企业参加“第五届中俄博览会”；</w:t>
      </w:r>
      <w:r>
        <w:rPr>
          <w:rFonts w:hint="eastAsia" w:ascii="仿宋_GB2312" w:hAnsi="Times New Roman" w:eastAsia="仿宋_GB2312" w:cs="仿宋_GB2312"/>
          <w:b/>
          <w:kern w:val="0"/>
          <w:sz w:val="32"/>
          <w:szCs w:val="32"/>
          <w:lang w:val="en-US" w:eastAsia="zh-CN"/>
        </w:rPr>
        <w:t>五是</w:t>
      </w:r>
      <w:r>
        <w:rPr>
          <w:rFonts w:hint="eastAsia" w:ascii="仿宋_GB2312" w:hAnsi="Times New Roman" w:eastAsia="仿宋_GB2312" w:cs="仿宋_GB2312"/>
          <w:kern w:val="0"/>
          <w:sz w:val="32"/>
          <w:szCs w:val="32"/>
          <w:lang w:val="en-US" w:eastAsia="zh-CN"/>
        </w:rPr>
        <w:t>参加“蒙古国东方省建省87周年庆典活动”；</w:t>
      </w:r>
      <w:r>
        <w:rPr>
          <w:rFonts w:hint="eastAsia" w:ascii="仿宋_GB2312" w:hAnsi="Times New Roman" w:eastAsia="仿宋_GB2312" w:cs="仿宋_GB2312"/>
          <w:b/>
          <w:kern w:val="0"/>
          <w:sz w:val="32"/>
          <w:szCs w:val="32"/>
          <w:lang w:val="en-US" w:eastAsia="zh-CN"/>
        </w:rPr>
        <w:t>六是</w:t>
      </w:r>
      <w:r>
        <w:rPr>
          <w:rFonts w:hint="eastAsia" w:ascii="仿宋_GB2312" w:hAnsi="Times New Roman" w:eastAsia="仿宋_GB2312" w:cs="仿宋_GB2312"/>
          <w:kern w:val="0"/>
          <w:sz w:val="32"/>
          <w:szCs w:val="32"/>
          <w:lang w:val="en-US" w:eastAsia="zh-CN"/>
        </w:rPr>
        <w:t>参加2018中国内蒙古蒙古国投资贸易合作推介会；</w:t>
      </w:r>
      <w:r>
        <w:rPr>
          <w:rFonts w:hint="eastAsia" w:ascii="仿宋_GB2312" w:hAnsi="Times New Roman" w:eastAsia="仿宋_GB2312" w:cs="仿宋_GB2312"/>
          <w:b/>
          <w:kern w:val="0"/>
          <w:sz w:val="32"/>
          <w:szCs w:val="32"/>
          <w:lang w:val="en-US" w:eastAsia="zh-CN"/>
        </w:rPr>
        <w:t>七是</w:t>
      </w:r>
      <w:r>
        <w:rPr>
          <w:rFonts w:hint="eastAsia" w:ascii="仿宋_GB2312" w:hAnsi="Times New Roman" w:eastAsia="仿宋_GB2312" w:cs="仿宋_GB2312"/>
          <w:kern w:val="0"/>
          <w:sz w:val="32"/>
          <w:szCs w:val="32"/>
          <w:lang w:val="en-US" w:eastAsia="zh-CN"/>
        </w:rPr>
        <w:t>参加东方省“克尔伦-2018”国际商品展销会；</w:t>
      </w:r>
      <w:r>
        <w:rPr>
          <w:rFonts w:hint="eastAsia" w:ascii="仿宋_GB2312" w:hAnsi="Times New Roman" w:eastAsia="仿宋_GB2312" w:cs="仿宋_GB2312"/>
          <w:b/>
          <w:kern w:val="0"/>
          <w:sz w:val="32"/>
          <w:szCs w:val="32"/>
          <w:lang w:val="en-US" w:eastAsia="zh-CN"/>
        </w:rPr>
        <w:t>八是</w:t>
      </w:r>
      <w:r>
        <w:rPr>
          <w:rFonts w:hint="eastAsia" w:ascii="仿宋_GB2312" w:hAnsi="Times New Roman" w:eastAsia="仿宋_GB2312" w:cs="仿宋_GB2312"/>
          <w:kern w:val="0"/>
          <w:sz w:val="32"/>
          <w:szCs w:val="32"/>
          <w:lang w:val="en-US" w:eastAsia="zh-CN"/>
        </w:rPr>
        <w:t>参加2018俄罗斯伊尔库茨克.中国内蒙古商品展览会及相关活动；</w:t>
      </w:r>
      <w:r>
        <w:rPr>
          <w:rFonts w:hint="eastAsia" w:ascii="仿宋_GB2312" w:hAnsi="Times New Roman" w:eastAsia="仿宋_GB2312" w:cs="仿宋_GB2312"/>
          <w:b/>
          <w:kern w:val="0"/>
          <w:sz w:val="32"/>
          <w:szCs w:val="32"/>
          <w:lang w:val="en-US" w:eastAsia="zh-CN"/>
        </w:rPr>
        <w:t>九是</w:t>
      </w:r>
      <w:r>
        <w:rPr>
          <w:rFonts w:hint="eastAsia" w:ascii="仿宋_GB2312" w:hAnsi="Times New Roman" w:eastAsia="仿宋_GB2312" w:cs="仿宋_GB2312"/>
          <w:kern w:val="0"/>
          <w:sz w:val="32"/>
          <w:szCs w:val="32"/>
          <w:lang w:val="en-US" w:eastAsia="zh-CN"/>
        </w:rPr>
        <w:t>参加2018第三届乌兰巴托</w:t>
      </w:r>
      <w:r>
        <w:rPr>
          <w:rFonts w:hint="eastAsia" w:ascii="仿宋_GB2312" w:hAnsi="宋体" w:eastAsia="仿宋_GB2312" w:cs="仿宋_GB2312"/>
          <w:kern w:val="0"/>
          <w:sz w:val="15"/>
          <w:szCs w:val="15"/>
          <w:lang w:val="en-US" w:eastAsia="zh-CN"/>
        </w:rPr>
        <w:t>●</w:t>
      </w:r>
      <w:r>
        <w:rPr>
          <w:rFonts w:hint="eastAsia" w:ascii="仿宋_GB2312" w:hAnsi="Times New Roman" w:eastAsia="仿宋_GB2312" w:cs="仿宋_GB2312"/>
          <w:kern w:val="0"/>
          <w:sz w:val="32"/>
          <w:szCs w:val="32"/>
          <w:lang w:val="en-US" w:eastAsia="zh-CN"/>
        </w:rPr>
        <w:t>中国内蒙古商品展览会及相关活动；</w:t>
      </w:r>
      <w:r>
        <w:rPr>
          <w:rFonts w:hint="eastAsia" w:ascii="仿宋_GB2312" w:hAnsi="Times New Roman" w:eastAsia="仿宋_GB2312" w:cs="仿宋_GB2312"/>
          <w:b/>
          <w:kern w:val="0"/>
          <w:sz w:val="32"/>
          <w:szCs w:val="32"/>
          <w:lang w:val="en-US" w:eastAsia="zh-CN"/>
        </w:rPr>
        <w:t>十是</w:t>
      </w:r>
      <w:r>
        <w:rPr>
          <w:rFonts w:hint="eastAsia" w:ascii="仿宋_GB2312" w:hAnsi="Times New Roman" w:eastAsia="仿宋_GB2312" w:cs="仿宋_GB2312"/>
          <w:kern w:val="0"/>
          <w:sz w:val="32"/>
          <w:szCs w:val="32"/>
          <w:lang w:val="en-US" w:eastAsia="zh-CN"/>
        </w:rPr>
        <w:t>参加2018中俄经贸项目推介会并组织双方企业进行项目洽谈暨项目签约；十</w:t>
      </w:r>
      <w:r>
        <w:rPr>
          <w:rFonts w:hint="eastAsia" w:ascii="仿宋_GB2312" w:hAnsi="Times New Roman" w:eastAsia="仿宋_GB2312" w:cs="仿宋_GB2312"/>
          <w:b/>
          <w:kern w:val="0"/>
          <w:sz w:val="32"/>
          <w:szCs w:val="32"/>
          <w:lang w:val="en-US" w:eastAsia="zh-CN"/>
        </w:rPr>
        <w:t>一是</w:t>
      </w:r>
      <w:r>
        <w:rPr>
          <w:rFonts w:hint="eastAsia" w:ascii="仿宋_GB2312" w:hAnsi="Times New Roman" w:eastAsia="仿宋_GB2312" w:cs="仿宋_GB2312"/>
          <w:kern w:val="0"/>
          <w:sz w:val="32"/>
          <w:szCs w:val="32"/>
          <w:lang w:val="en-US" w:eastAsia="zh-CN"/>
        </w:rPr>
        <w:t>赴俄罗斯赤塔参加边境口岸年检；十</w:t>
      </w:r>
      <w:r>
        <w:rPr>
          <w:rFonts w:hint="eastAsia" w:ascii="仿宋_GB2312" w:hAnsi="Times New Roman" w:eastAsia="仿宋_GB2312" w:cs="仿宋_GB2312"/>
          <w:b/>
          <w:kern w:val="0"/>
          <w:sz w:val="32"/>
          <w:szCs w:val="32"/>
          <w:lang w:val="en-US" w:eastAsia="zh-CN"/>
        </w:rPr>
        <w:t>二是</w:t>
      </w:r>
      <w:r>
        <w:rPr>
          <w:rFonts w:hint="eastAsia" w:ascii="仿宋_GB2312" w:hAnsi="Times New Roman" w:eastAsia="仿宋_GB2312" w:cs="仿宋_GB2312"/>
          <w:kern w:val="0"/>
          <w:sz w:val="32"/>
          <w:szCs w:val="32"/>
          <w:lang w:val="en-US" w:eastAsia="zh-CN"/>
        </w:rPr>
        <w:t>赴蒙古国对接额布都格口岸原油运输事宜；十</w:t>
      </w:r>
      <w:r>
        <w:rPr>
          <w:rFonts w:hint="eastAsia" w:ascii="仿宋_GB2312" w:hAnsi="Times New Roman" w:eastAsia="仿宋_GB2312" w:cs="仿宋_GB2312"/>
          <w:b/>
          <w:kern w:val="0"/>
          <w:sz w:val="32"/>
          <w:szCs w:val="32"/>
          <w:lang w:val="en-US" w:eastAsia="zh-CN"/>
        </w:rPr>
        <w:t>三是</w:t>
      </w:r>
      <w:r>
        <w:rPr>
          <w:rFonts w:hint="eastAsia" w:ascii="仿宋_GB2312" w:hAnsi="Times New Roman" w:eastAsia="仿宋_GB2312" w:cs="仿宋_GB2312"/>
          <w:kern w:val="0"/>
          <w:sz w:val="32"/>
          <w:szCs w:val="32"/>
          <w:lang w:val="en-US" w:eastAsia="zh-CN"/>
        </w:rPr>
        <w:t>组织企业参加2018中国内蒙古蒙古国投资贸易合作推介会。</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b/>
          <w:kern w:val="0"/>
          <w:sz w:val="32"/>
          <w:szCs w:val="32"/>
          <w:lang w:val="en-US" w:eastAsia="zh-CN"/>
        </w:rPr>
        <w:t>公务用车购置及运行维护费支出</w:t>
      </w:r>
      <w:r>
        <w:rPr>
          <w:rFonts w:hint="eastAsia" w:ascii="仿宋_GB2312" w:hAnsi="Times New Roman" w:eastAsia="仿宋_GB2312" w:cs="仿宋_GB2312"/>
          <w:kern w:val="0"/>
          <w:sz w:val="32"/>
          <w:szCs w:val="32"/>
          <w:lang w:val="en-US" w:eastAsia="zh-CN"/>
        </w:rPr>
        <w:t>3.80万元。其中：公务用车购置支出0.00万元，车均购置费0.00万元，较上年增加0.00万元，主要原因是2018年未购置公务用车。公务用车运行维护费支出3.80万元，用于机要通信用车修理、维护等支出，车均运维费3.80万元，较上年减少11.51万元，主要原因是商务局本级2018年车辆加油多使用2017年剩余油卡，所属事业单位向北开放经济联络处2018年处置一辆公务用车，年度发生公车运行维护费并入其他交通费用核算，财政拨款开支的公务用车保有量为1辆。</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b/>
          <w:kern w:val="0"/>
          <w:sz w:val="32"/>
          <w:szCs w:val="32"/>
          <w:lang w:val="en-US" w:eastAsia="zh-CN"/>
        </w:rPr>
        <w:t>公务接待费支出</w:t>
      </w:r>
      <w:r>
        <w:rPr>
          <w:rFonts w:hint="eastAsia" w:ascii="仿宋_GB2312" w:hAnsi="Times New Roman" w:eastAsia="仿宋_GB2312" w:cs="仿宋_GB2312"/>
          <w:kern w:val="0"/>
          <w:sz w:val="32"/>
          <w:szCs w:val="32"/>
          <w:lang w:val="en-US" w:eastAsia="zh-CN"/>
        </w:rPr>
        <w:t>5.12万元。其中：国内公务接待费5.12万元，接待157批次，共接待663人次。主要用于一是接待上级部门考察调研；二是接待同级部门考察调研；三是接待外省企业调研我市重点项目；四是接待外国企业调研我市重点项目。国（境）外接待费0.00万元，接待0批次，共接待0人次。主要原因是2018年未发生国（境）外接待费。</w:t>
      </w:r>
    </w:p>
    <w:p>
      <w:pPr>
        <w:widowControl/>
        <w:numPr>
          <w:ilvl w:val="0"/>
          <w:numId w:val="22"/>
        </w:numPr>
        <w:autoSpaceDE w:val="0"/>
        <w:adjustRightInd w:val="0"/>
        <w:spacing w:before="0" w:beforeAutospacing="0" w:after="0" w:afterAutospacing="0" w:line="576" w:lineRule="exact"/>
        <w:ind w:left="0" w:leftChars="0" w:right="0" w:firstLine="420" w:firstLineChars="0"/>
        <w:jc w:val="both"/>
        <w:rPr>
          <w:rFonts w:hint="eastAsia" w:ascii="黑体" w:hAnsi="黑体" w:eastAsia="黑体" w:cs="黑体"/>
          <w:sz w:val="32"/>
          <w:szCs w:val="32"/>
          <w:lang w:val="en-US"/>
        </w:rPr>
      </w:pPr>
      <w:r>
        <w:rPr>
          <w:rFonts w:hint="eastAsia" w:ascii="黑体" w:hAnsi="黑体" w:eastAsia="黑体" w:cs="黑体"/>
          <w:kern w:val="0"/>
          <w:sz w:val="32"/>
          <w:szCs w:val="32"/>
          <w:lang w:val="en-US" w:eastAsia="zh-CN"/>
        </w:rPr>
        <w:t>其他重要事项的情况说明</w:t>
      </w:r>
    </w:p>
    <w:p>
      <w:pPr>
        <w:widowControl/>
        <w:numPr>
          <w:ilvl w:val="0"/>
          <w:numId w:val="23"/>
        </w:numPr>
        <w:autoSpaceDE w:val="0"/>
        <w:adjustRightInd w:val="0"/>
        <w:spacing w:before="0" w:beforeAutospacing="0" w:after="0" w:afterAutospacing="0" w:line="576" w:lineRule="exact"/>
        <w:ind w:left="0" w:leftChars="0" w:right="0" w:firstLine="420" w:firstLineChars="0"/>
        <w:jc w:val="both"/>
        <w:rPr>
          <w:rFonts w:hint="eastAsia" w:ascii="楷体" w:hAnsi="楷体" w:eastAsia="楷体" w:cs="楷体"/>
          <w:b/>
          <w:bCs/>
          <w:sz w:val="32"/>
          <w:szCs w:val="32"/>
          <w:lang w:val="en-US"/>
        </w:rPr>
      </w:pPr>
      <w:r>
        <w:rPr>
          <w:rFonts w:hint="eastAsia" w:ascii="楷体" w:hAnsi="楷体" w:eastAsia="楷体" w:cs="楷体"/>
          <w:b/>
          <w:bCs/>
          <w:kern w:val="0"/>
          <w:sz w:val="32"/>
          <w:szCs w:val="32"/>
          <w:lang w:val="en-US" w:eastAsia="zh-CN"/>
        </w:rPr>
        <w:t>机关运行经费支出情况</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kern w:val="0"/>
          <w:sz w:val="32"/>
          <w:szCs w:val="32"/>
          <w:lang w:val="en-US" w:eastAsia="zh-CN"/>
        </w:rPr>
      </w:pPr>
      <w:r>
        <w:rPr>
          <w:rFonts w:hint="eastAsia" w:ascii="仿宋_GB2312" w:hAnsi="Times New Roman" w:eastAsia="仿宋_GB2312" w:cs="仿宋_GB2312"/>
          <w:kern w:val="0"/>
          <w:sz w:val="32"/>
          <w:szCs w:val="32"/>
          <w:lang w:val="en-US" w:eastAsia="zh-CN"/>
        </w:rPr>
        <w:t>本部门2018年度机关运行经费支出112.14万元，比2017年增加57.34万元，增长104.60%。主要原因是：2018年专项业务费公用经费决算按基本支出列支，2017年专项业务费公用经费决算按项目支出列支，导致2018年机关运行经费支出较2017年有所增加。</w:t>
      </w:r>
    </w:p>
    <w:p>
      <w:pPr>
        <w:widowControl/>
        <w:numPr>
          <w:ilvl w:val="0"/>
          <w:numId w:val="24"/>
        </w:numPr>
        <w:autoSpaceDE w:val="0"/>
        <w:adjustRightInd w:val="0"/>
        <w:spacing w:before="0" w:beforeAutospacing="0" w:after="0" w:afterAutospacing="0" w:line="576" w:lineRule="exact"/>
        <w:ind w:left="0" w:leftChars="0" w:right="0" w:firstLine="420" w:firstLineChars="0"/>
        <w:jc w:val="both"/>
        <w:rPr>
          <w:rFonts w:hint="eastAsia" w:ascii="楷体" w:hAnsi="楷体" w:eastAsia="楷体" w:cs="楷体"/>
          <w:b/>
          <w:bCs/>
          <w:sz w:val="32"/>
          <w:szCs w:val="32"/>
          <w:lang w:val="en-US"/>
        </w:rPr>
      </w:pPr>
      <w:r>
        <w:rPr>
          <w:rFonts w:hint="eastAsia" w:ascii="楷体" w:hAnsi="楷体" w:eastAsia="楷体" w:cs="楷体"/>
          <w:b/>
          <w:bCs/>
          <w:kern w:val="0"/>
          <w:sz w:val="32"/>
          <w:szCs w:val="32"/>
          <w:lang w:val="en-US" w:eastAsia="zh-CN"/>
        </w:rPr>
        <w:t>政府采购支出情况</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部门2018年度财政性资金政府采购支出总额58.71万元，其中：授予中小企业政府采购合同金额58.71万元，占政府采购支出的100%，政府采购货物支出52.31万元，比2017年增加31.63万元，增长152.95%，主要原因是：2018年购置电子</w:t>
      </w:r>
      <w:r>
        <w:rPr>
          <w:rFonts w:hint="eastAsia" w:ascii="仿宋_GB2312" w:hAnsi="Times New Roman" w:eastAsia="仿宋_GB2312" w:cs="仿宋_GB2312"/>
          <w:color w:val="000000"/>
          <w:kern w:val="0"/>
          <w:sz w:val="32"/>
          <w:szCs w:val="32"/>
          <w:lang w:val="en-US" w:eastAsia="zh-CN"/>
        </w:rPr>
        <w:t>口岸基础设施；</w:t>
      </w:r>
      <w:r>
        <w:rPr>
          <w:rFonts w:hint="eastAsia" w:ascii="仿宋_GB2312" w:hAnsi="Times New Roman" w:eastAsia="仿宋_GB2312" w:cs="仿宋_GB2312"/>
          <w:kern w:val="0"/>
          <w:sz w:val="32"/>
          <w:szCs w:val="32"/>
          <w:lang w:val="en-US" w:eastAsia="zh-CN"/>
        </w:rPr>
        <w:t>政府采购服务支出6.40万元，比2017年减少-17.60万元，降低-73.33%，主要原因是：2017年通过政府采购采购中国</w:t>
      </w:r>
      <w:r>
        <w:rPr>
          <w:rFonts w:hint="eastAsia" w:ascii="仿宋_GB2312" w:hAnsi="宋体" w:eastAsia="仿宋_GB2312" w:cs="仿宋_GB2312"/>
          <w:kern w:val="0"/>
          <w:sz w:val="13"/>
          <w:szCs w:val="13"/>
          <w:lang w:val="en-US" w:eastAsia="zh-CN"/>
        </w:rPr>
        <w:t>●</w:t>
      </w:r>
      <w:r>
        <w:rPr>
          <w:rFonts w:hint="eastAsia" w:ascii="仿宋_GB2312" w:hAnsi="Times New Roman" w:eastAsia="仿宋_GB2312" w:cs="仿宋_GB2312"/>
          <w:kern w:val="0"/>
          <w:sz w:val="32"/>
          <w:szCs w:val="32"/>
          <w:lang w:val="en-US" w:eastAsia="zh-CN"/>
        </w:rPr>
        <w:t>海拉尔第十四届中俄蒙经贸洽谈暨商品展销会展馆建设服务，支出24万元，2018年没发生此类支出</w:t>
      </w:r>
      <w:r>
        <w:rPr>
          <w:rFonts w:hint="eastAsia" w:ascii="仿宋_GB2312" w:hAnsi="Times New Roman" w:eastAsia="仿宋_GB2312" w:cs="仿宋_GB2312"/>
          <w:color w:val="000000"/>
          <w:kern w:val="0"/>
          <w:sz w:val="32"/>
          <w:szCs w:val="32"/>
          <w:lang w:val="en-US" w:eastAsia="zh-CN"/>
        </w:rPr>
        <w:t>。</w:t>
      </w:r>
    </w:p>
    <w:p>
      <w:pPr>
        <w:widowControl/>
        <w:numPr>
          <w:ilvl w:val="0"/>
          <w:numId w:val="25"/>
        </w:numPr>
        <w:autoSpaceDE w:val="0"/>
        <w:adjustRightInd w:val="0"/>
        <w:spacing w:before="0" w:beforeAutospacing="0" w:after="0" w:afterAutospacing="0" w:line="576" w:lineRule="exact"/>
        <w:ind w:left="0" w:leftChars="0" w:right="0" w:firstLine="420" w:firstLineChars="0"/>
        <w:jc w:val="both"/>
        <w:rPr>
          <w:rFonts w:hint="eastAsia" w:ascii="楷体" w:hAnsi="楷体" w:eastAsia="楷体" w:cs="楷体"/>
          <w:b/>
          <w:bCs/>
          <w:sz w:val="32"/>
          <w:szCs w:val="32"/>
          <w:lang w:val="en-US"/>
        </w:rPr>
      </w:pPr>
      <w:r>
        <w:rPr>
          <w:rFonts w:hint="eastAsia" w:ascii="楷体" w:hAnsi="楷体" w:eastAsia="楷体" w:cs="楷体"/>
          <w:b/>
          <w:bCs/>
          <w:kern w:val="0"/>
          <w:sz w:val="32"/>
          <w:szCs w:val="32"/>
          <w:lang w:val="en-US" w:eastAsia="zh-CN"/>
        </w:rPr>
        <w:t>国有资产占用情况</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截至2018年12月31日，本部门共有车辆1辆，机要通信用车1辆，主要用于：局机关机要通信使用</w:t>
      </w:r>
      <w:r>
        <w:rPr>
          <w:rFonts w:hint="eastAsia" w:ascii="仿宋_GB2312" w:hAnsi="Times New Roman" w:eastAsia="仿宋_GB2312" w:cs="仿宋_GB2312"/>
          <w:color w:val="000000"/>
          <w:kern w:val="0"/>
          <w:sz w:val="32"/>
          <w:szCs w:val="32"/>
          <w:lang w:val="en-US" w:eastAsia="zh-CN"/>
        </w:rPr>
        <w:t>。</w:t>
      </w:r>
    </w:p>
    <w:p>
      <w:pPr>
        <w:widowControl/>
        <w:numPr>
          <w:ilvl w:val="0"/>
          <w:numId w:val="26"/>
        </w:numPr>
        <w:autoSpaceDE w:val="0"/>
        <w:adjustRightInd w:val="0"/>
        <w:spacing w:before="0" w:beforeAutospacing="0" w:after="0" w:afterAutospacing="0" w:line="576" w:lineRule="exact"/>
        <w:ind w:left="0" w:leftChars="0" w:right="0" w:firstLine="420" w:firstLineChars="0"/>
        <w:jc w:val="both"/>
        <w:rPr>
          <w:rFonts w:hint="eastAsia" w:ascii="楷体" w:hAnsi="楷体" w:eastAsia="楷体" w:cs="楷体"/>
          <w:b/>
          <w:bCs/>
          <w:sz w:val="32"/>
          <w:szCs w:val="32"/>
          <w:lang w:val="en-US"/>
        </w:rPr>
      </w:pPr>
      <w:r>
        <w:rPr>
          <w:rFonts w:hint="eastAsia" w:ascii="楷体" w:hAnsi="楷体" w:eastAsia="楷体" w:cs="楷体"/>
          <w:b/>
          <w:bCs/>
          <w:kern w:val="0"/>
          <w:sz w:val="32"/>
          <w:szCs w:val="32"/>
          <w:lang w:val="en-US" w:eastAsia="zh-CN"/>
        </w:rPr>
        <w:t>预算绩效管理工作开展情况</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2018年预算项目绩效评价项目为中国</w:t>
      </w:r>
      <w:r>
        <w:rPr>
          <w:rFonts w:hint="eastAsia" w:ascii="仿宋_GB2312" w:hAnsi="宋体" w:eastAsia="仿宋_GB2312" w:cs="仿宋_GB2312"/>
          <w:kern w:val="0"/>
          <w:sz w:val="13"/>
          <w:szCs w:val="13"/>
          <w:lang w:val="en-US" w:eastAsia="zh-CN"/>
        </w:rPr>
        <w:t>●</w:t>
      </w:r>
      <w:r>
        <w:rPr>
          <w:rFonts w:hint="eastAsia" w:ascii="仿宋_GB2312" w:hAnsi="Times New Roman" w:eastAsia="仿宋_GB2312" w:cs="仿宋_GB2312"/>
          <w:kern w:val="0"/>
          <w:sz w:val="32"/>
          <w:szCs w:val="32"/>
          <w:lang w:val="en-US" w:eastAsia="zh-CN"/>
        </w:rPr>
        <w:t>海拉尔第十四届中俄蒙经贸洽谈暨商品展销会，绩效目标是中俄蒙经贸洽谈暨商品展销会的国际化程度进一步提升，展会档次和规模进一步提升，展洽会论坛影响力初步显现，展洽会的平台作用日益突出。展会投入项目资金300万元，用于展会前期准备和召开活动经费。本次展会</w:t>
      </w:r>
      <w:r>
        <w:rPr>
          <w:rFonts w:hint="eastAsia" w:ascii="仿宋_GB2312" w:hAnsi="宋体" w:eastAsia="仿宋_GB2312" w:cs="仿宋_GB2312"/>
          <w:kern w:val="0"/>
          <w:sz w:val="32"/>
          <w:szCs w:val="32"/>
          <w:lang w:val="en-US" w:eastAsia="zh-CN"/>
        </w:rPr>
        <w:t>经贸洽谈及项目推介由中俄蒙三方政府相关领导、中俄蒙三方企业代表参加，达成签约意向26项，达成签约意向额76.71亿元。展洽会客流量达到20余万人（次），现场销售额实现1.8亿元。</w:t>
      </w:r>
      <w:r>
        <w:rPr>
          <w:rFonts w:hint="eastAsia" w:ascii="仿宋_GB2312" w:hAnsi="Times New Roman" w:eastAsia="仿宋_GB2312" w:cs="仿宋_GB2312"/>
          <w:kern w:val="0"/>
          <w:sz w:val="32"/>
          <w:szCs w:val="32"/>
          <w:lang w:val="en-US" w:eastAsia="zh-CN"/>
        </w:rPr>
        <w:t>通过项目绩效评价组对项目进行评价，该项目综合绩效等级为优，</w:t>
      </w:r>
      <w:r>
        <w:rPr>
          <w:rFonts w:hint="default" w:ascii="Times New Roman" w:hAnsi="Times New Roman" w:eastAsia="仿宋_GB2312" w:cs="Times New Roman"/>
          <w:kern w:val="0"/>
          <w:sz w:val="32"/>
          <w:szCs w:val="32"/>
          <w:lang w:val="en-US" w:eastAsia="zh-CN"/>
        </w:rPr>
        <w:t xml:space="preserve"> </w:t>
      </w:r>
      <w:r>
        <w:rPr>
          <w:rFonts w:hint="eastAsia" w:ascii="仿宋_GB2312" w:hAnsi="Times New Roman" w:eastAsia="仿宋_GB2312" w:cs="仿宋_GB2312"/>
          <w:kern w:val="0"/>
          <w:sz w:val="32"/>
          <w:szCs w:val="32"/>
          <w:lang w:val="en-US" w:eastAsia="zh-CN"/>
        </w:rPr>
        <w:t>圆满达到项目预期目标。</w:t>
      </w:r>
      <w:r>
        <w:rPr>
          <w:rFonts w:hint="default" w:ascii="Times New Roman" w:hAnsi="Times New Roman" w:eastAsia="仿宋_GB2312" w:cs="Times New Roman"/>
          <w:kern w:val="0"/>
          <w:sz w:val="32"/>
          <w:szCs w:val="32"/>
          <w:lang w:val="en-US" w:eastAsia="zh-CN"/>
        </w:rPr>
        <w:t xml:space="preserve"> </w:t>
      </w:r>
    </w:p>
    <w:p>
      <w:pPr>
        <w:widowControl/>
        <w:autoSpaceDE w:val="0"/>
        <w:adjustRightInd w:val="0"/>
        <w:spacing w:before="0" w:beforeAutospacing="0" w:after="0" w:afterAutospacing="0" w:line="576" w:lineRule="exact"/>
        <w:ind w:left="0" w:right="0" w:firstLine="600"/>
        <w:jc w:val="both"/>
        <w:rPr>
          <w:rFonts w:hint="eastAsia" w:ascii="黑体" w:hAnsi="黑体" w:eastAsia="黑体" w:cs="黑体"/>
          <w:b w:val="0"/>
          <w:bCs/>
          <w:sz w:val="32"/>
          <w:szCs w:val="32"/>
          <w:lang w:val="en-US"/>
        </w:rPr>
      </w:pPr>
      <w:r>
        <w:rPr>
          <w:rFonts w:hint="eastAsia" w:ascii="黑体" w:hAnsi="黑体" w:eastAsia="黑体" w:cs="黑体"/>
          <w:b w:val="0"/>
          <w:bCs/>
          <w:kern w:val="0"/>
          <w:sz w:val="32"/>
          <w:szCs w:val="32"/>
          <w:lang w:val="en-US" w:eastAsia="zh-CN"/>
        </w:rPr>
        <w:t>第三部分 名词解释</w:t>
      </w:r>
    </w:p>
    <w:p>
      <w:pPr>
        <w:widowControl/>
        <w:numPr>
          <w:ilvl w:val="0"/>
          <w:numId w:val="27"/>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财政拨款收入</w:t>
      </w:r>
      <w:r>
        <w:rPr>
          <w:rFonts w:hint="eastAsia" w:ascii="仿宋_GB2312" w:hAnsi="Times New Roman" w:eastAsia="仿宋_GB2312" w:cs="仿宋_GB2312"/>
          <w:kern w:val="0"/>
          <w:sz w:val="32"/>
          <w:szCs w:val="32"/>
          <w:lang w:val="en-US" w:eastAsia="zh-CN"/>
        </w:rPr>
        <w:t>：指本年度从本级财政部门取得的财政拨款，包括一般公共预算财政拨款和政府性基金预算财政拨款。</w:t>
      </w:r>
    </w:p>
    <w:p>
      <w:pPr>
        <w:widowControl/>
        <w:numPr>
          <w:ilvl w:val="0"/>
          <w:numId w:val="28"/>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其他收入</w:t>
      </w:r>
      <w:r>
        <w:rPr>
          <w:rFonts w:hint="eastAsia" w:ascii="仿宋_GB2312" w:hAnsi="Times New Roman" w:eastAsia="仿宋_GB2312" w:cs="仿宋_GB2312"/>
          <w:kern w:val="0"/>
          <w:sz w:val="32"/>
          <w:szCs w:val="32"/>
          <w:lang w:val="en-US" w:eastAsia="zh-CN"/>
        </w:rPr>
        <w:t>：指单位取得的除“财政拨款收入”、“事业收入”、“经营收入”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pPr>
        <w:widowControl/>
        <w:numPr>
          <w:ilvl w:val="0"/>
          <w:numId w:val="29"/>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年初结转和结余</w:t>
      </w:r>
      <w:r>
        <w:rPr>
          <w:rFonts w:hint="eastAsia" w:ascii="仿宋_GB2312" w:hAnsi="Times New Roman" w:eastAsia="仿宋_GB2312" w:cs="仿宋_GB2312"/>
          <w:kern w:val="0"/>
          <w:sz w:val="32"/>
          <w:szCs w:val="32"/>
          <w:lang w:val="en-US" w:eastAsia="zh-CN"/>
        </w:rPr>
        <w:t>：指单位上年结转本年使用的基本支出结转、项目支出结转和结余、经营结余。不包括事业单位净资产项下的事业基金和专用基金。</w:t>
      </w:r>
    </w:p>
    <w:p>
      <w:pPr>
        <w:widowControl/>
        <w:numPr>
          <w:ilvl w:val="0"/>
          <w:numId w:val="30"/>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年末结转和结余</w:t>
      </w:r>
      <w:r>
        <w:rPr>
          <w:rFonts w:hint="eastAsia" w:ascii="仿宋_GB2312" w:hAnsi="Times New Roman" w:eastAsia="仿宋_GB2312" w:cs="仿宋_GB2312"/>
          <w:kern w:val="0"/>
          <w:sz w:val="32"/>
          <w:szCs w:val="32"/>
          <w:lang w:val="en-US" w:eastAsia="zh-CN"/>
        </w:rPr>
        <w:t>：指单位结转下年的基本支出结转、项目支出结转和结余、经营结余。不包括事业单位净资产项下的事业基金和专用基金。</w:t>
      </w:r>
    </w:p>
    <w:p>
      <w:pPr>
        <w:widowControl/>
        <w:numPr>
          <w:ilvl w:val="0"/>
          <w:numId w:val="31"/>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基本支出</w:t>
      </w:r>
      <w:r>
        <w:rPr>
          <w:rFonts w:hint="eastAsia" w:ascii="仿宋_GB2312" w:hAnsi="Times New Roman" w:eastAsia="仿宋_GB2312" w:cs="仿宋_GB2312"/>
          <w:kern w:val="0"/>
          <w:sz w:val="32"/>
          <w:szCs w:val="32"/>
          <w:lang w:val="en-US" w:eastAsia="zh-CN"/>
        </w:rPr>
        <w:t>：指为保障机构正常运转、完成日常工作任务而发生的人员经费和公用经费。其中：人员经费指政府收支分类经济科目中的“工资福利支出”和“对个人和家庭的补助”；公用经费指政府收支分类经济科目中除“工资福利支出”和“对个人和家庭的补助”外的其他支出。</w:t>
      </w:r>
    </w:p>
    <w:p>
      <w:pPr>
        <w:widowControl/>
        <w:numPr>
          <w:ilvl w:val="0"/>
          <w:numId w:val="32"/>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项目支出</w:t>
      </w:r>
      <w:r>
        <w:rPr>
          <w:rFonts w:hint="eastAsia" w:ascii="仿宋_GB2312" w:hAnsi="Times New Roman" w:eastAsia="仿宋_GB2312" w:cs="仿宋_GB2312"/>
          <w:kern w:val="0"/>
          <w:sz w:val="32"/>
          <w:szCs w:val="32"/>
          <w:lang w:val="en-US" w:eastAsia="zh-CN"/>
        </w:rPr>
        <w:t>：指在基本支出之外为完成特定行政任务和事业发展目标所发生的支出。</w:t>
      </w:r>
    </w:p>
    <w:p>
      <w:pPr>
        <w:widowControl/>
        <w:numPr>
          <w:ilvl w:val="0"/>
          <w:numId w:val="33"/>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“三公”经费</w:t>
      </w:r>
      <w:r>
        <w:rPr>
          <w:rFonts w:hint="eastAsia" w:ascii="仿宋_GB2312" w:hAnsi="Times New Roman" w:eastAsia="仿宋_GB2312" w:cs="仿宋_GB2312"/>
          <w:kern w:val="0"/>
          <w:sz w:val="32"/>
          <w:szCs w:val="32"/>
          <w:lang w:val="en-US" w:eastAsia="zh-CN"/>
        </w:rPr>
        <w:t>：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widowControl/>
        <w:numPr>
          <w:ilvl w:val="0"/>
          <w:numId w:val="34"/>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机关运行经费</w:t>
      </w:r>
      <w:r>
        <w:rPr>
          <w:rFonts w:hint="eastAsia" w:ascii="仿宋_GB2312" w:hAnsi="Times New Roman" w:eastAsia="仿宋_GB2312" w:cs="仿宋_GB2312"/>
          <w:kern w:val="0"/>
          <w:sz w:val="32"/>
          <w:szCs w:val="32"/>
          <w:lang w:val="en-US" w:eastAsia="zh-CN"/>
        </w:rPr>
        <w:t>：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pPr>
        <w:widowControl/>
        <w:numPr>
          <w:ilvl w:val="0"/>
          <w:numId w:val="35"/>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工资福利支出（支出经济分类科目类级）</w:t>
      </w:r>
      <w:r>
        <w:rPr>
          <w:rFonts w:hint="eastAsia" w:ascii="仿宋_GB2312" w:hAnsi="Times New Roman" w:eastAsia="仿宋_GB2312" w:cs="仿宋_GB2312"/>
          <w:kern w:val="0"/>
          <w:sz w:val="32"/>
          <w:szCs w:val="32"/>
          <w:lang w:val="en-US" w:eastAsia="zh-CN"/>
        </w:rPr>
        <w:t>：反映单位开支的在职职工和编制外长期聘用人员的各类劳动报酬，以及为上述人员缴纳的各项社会保险费等。</w:t>
      </w:r>
    </w:p>
    <w:p>
      <w:pPr>
        <w:widowControl/>
        <w:numPr>
          <w:ilvl w:val="0"/>
          <w:numId w:val="36"/>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商品和服务支出（支出经济分类科目类级）</w:t>
      </w:r>
      <w:r>
        <w:rPr>
          <w:rFonts w:hint="eastAsia" w:ascii="仿宋_GB2312" w:hAnsi="Times New Roman" w:eastAsia="仿宋_GB2312" w:cs="仿宋_GB2312"/>
          <w:kern w:val="0"/>
          <w:sz w:val="32"/>
          <w:szCs w:val="32"/>
          <w:lang w:val="en-US" w:eastAsia="zh-CN"/>
        </w:rPr>
        <w:t>：反映单位购买商品和服务的支出（不包括用于购置固定资产的支出、战略性和应急储备支出）。</w:t>
      </w:r>
    </w:p>
    <w:p>
      <w:pPr>
        <w:widowControl/>
        <w:numPr>
          <w:ilvl w:val="0"/>
          <w:numId w:val="37"/>
        </w:numPr>
        <w:autoSpaceDE w:val="0"/>
        <w:adjustRightInd w:val="0"/>
        <w:spacing w:before="0" w:beforeAutospacing="0" w:after="0" w:afterAutospacing="0" w:line="576" w:lineRule="exact"/>
        <w:ind w:left="0" w:leftChars="0" w:right="0" w:firstLine="420" w:firstLineChars="0"/>
        <w:jc w:val="both"/>
        <w:rPr>
          <w:rFonts w:hint="default" w:ascii="Times New Roman" w:hAnsi="Times New Roman" w:eastAsia="仿宋_GB2312" w:cs="Times New Roman"/>
          <w:sz w:val="32"/>
          <w:szCs w:val="32"/>
          <w:lang w:val="en-US"/>
        </w:rPr>
      </w:pPr>
      <w:r>
        <w:rPr>
          <w:rFonts w:hint="eastAsia" w:ascii="楷体" w:hAnsi="楷体" w:eastAsia="楷体" w:cs="楷体"/>
          <w:b/>
          <w:bCs/>
          <w:kern w:val="0"/>
          <w:sz w:val="32"/>
          <w:szCs w:val="32"/>
          <w:lang w:val="en-US" w:eastAsia="zh-CN"/>
        </w:rPr>
        <w:t>对个人和家庭的补助（支出经济分类科目类级</w:t>
      </w:r>
      <w:r>
        <w:rPr>
          <w:rFonts w:hint="eastAsia" w:ascii="仿宋_GB2312" w:hAnsi="Times New Roman" w:eastAsia="仿宋_GB2312" w:cs="仿宋_GB2312"/>
          <w:kern w:val="0"/>
          <w:sz w:val="32"/>
          <w:szCs w:val="32"/>
          <w:lang w:val="en-US" w:eastAsia="zh-CN"/>
        </w:rPr>
        <w:t>）：反映用于对个人和家庭的补助支出。</w:t>
      </w:r>
    </w:p>
    <w:p>
      <w:pPr>
        <w:widowControl/>
        <w:autoSpaceDE w:val="0"/>
        <w:adjustRightInd w:val="0"/>
        <w:spacing w:before="0" w:beforeAutospacing="0" w:after="0" w:afterAutospacing="0" w:line="576" w:lineRule="exact"/>
        <w:ind w:left="0" w:right="0" w:firstLine="600"/>
        <w:jc w:val="both"/>
        <w:rPr>
          <w:rFonts w:hint="eastAsia" w:ascii="黑体" w:hAnsi="黑体" w:eastAsia="黑体" w:cs="黑体"/>
          <w:b w:val="0"/>
          <w:bCs/>
          <w:sz w:val="32"/>
          <w:szCs w:val="32"/>
          <w:lang w:val="en-US"/>
        </w:rPr>
      </w:pPr>
      <w:r>
        <w:rPr>
          <w:rFonts w:hint="eastAsia" w:ascii="黑体" w:hAnsi="黑体" w:eastAsia="黑体" w:cs="黑体"/>
          <w:b w:val="0"/>
          <w:bCs/>
          <w:kern w:val="0"/>
          <w:sz w:val="32"/>
          <w:szCs w:val="32"/>
          <w:lang w:val="en-US" w:eastAsia="zh-CN"/>
        </w:rPr>
        <w:t>第四部分 决算公开联系方式及信息反馈渠道</w:t>
      </w:r>
    </w:p>
    <w:p>
      <w:pPr>
        <w:widowControl/>
        <w:autoSpaceDE w:val="0"/>
        <w:adjustRightInd w:val="0"/>
        <w:spacing w:before="0" w:beforeAutospacing="0" w:after="0" w:afterAutospacing="0" w:line="576" w:lineRule="exact"/>
        <w:ind w:left="0" w:right="0" w:firstLine="600"/>
        <w:jc w:val="both"/>
        <w:rPr>
          <w:rFonts w:hint="default" w:ascii="Times New Roman" w:hAnsi="Times New Roman" w:eastAsia="仿宋_GB2312" w:cs="Times New Roman"/>
          <w:sz w:val="32"/>
          <w:szCs w:val="32"/>
          <w:lang w:val="en-US"/>
        </w:rPr>
      </w:pPr>
      <w:r>
        <w:rPr>
          <w:rFonts w:hint="eastAsia" w:ascii="仿宋_GB2312" w:hAnsi="Times New Roman" w:eastAsia="仿宋_GB2312" w:cs="仿宋_GB2312"/>
          <w:kern w:val="0"/>
          <w:sz w:val="32"/>
          <w:szCs w:val="32"/>
          <w:lang w:val="en-US" w:eastAsia="zh-CN"/>
        </w:rPr>
        <w:t>本单位决算公开信息反馈和联系方式：</w:t>
      </w:r>
    </w:p>
    <w:p>
      <w:pPr>
        <w:widowControl/>
        <w:autoSpaceDE w:val="0"/>
        <w:adjustRightInd w:val="0"/>
        <w:spacing w:before="0" w:beforeAutospacing="0" w:after="0" w:afterAutospacing="0" w:line="576" w:lineRule="exact"/>
        <w:ind w:left="0" w:right="0" w:firstLine="600"/>
        <w:jc w:val="both"/>
        <w:rPr>
          <w:rFonts w:hint="eastAsia" w:ascii="仿宋_GB2312" w:hAnsi="Times New Roman" w:eastAsia="仿宋_GB2312" w:cs="仿宋_GB2312"/>
          <w:sz w:val="32"/>
          <w:szCs w:val="32"/>
          <w:lang w:val="en-US"/>
        </w:rPr>
      </w:pPr>
      <w:r>
        <w:rPr>
          <w:rFonts w:hint="eastAsia" w:ascii="仿宋_GB2312" w:hAnsi="Times New Roman" w:eastAsia="仿宋_GB2312" w:cs="仿宋_GB2312"/>
          <w:kern w:val="0"/>
          <w:sz w:val="32"/>
          <w:szCs w:val="32"/>
          <w:lang w:val="en-US" w:eastAsia="zh-CN"/>
        </w:rPr>
        <w:t>联系人：马琳      联系电话：0470-8216718</w:t>
      </w:r>
    </w:p>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
    <w:altName w:val="楷体_GB2312"/>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楷体_GB2312">
    <w:panose1 w:val="02010609030101010101"/>
    <w:charset w:val="86"/>
    <w:family w:val="auto"/>
    <w:pitch w:val="default"/>
    <w:sig w:usb0="00000001" w:usb1="080E0000" w:usb2="00000000" w:usb3="00000000" w:csb0="00040000" w:csb1="0000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924FAF"/>
    <w:multiLevelType w:val="singleLevel"/>
    <w:tmpl w:val="8A924FAF"/>
    <w:lvl w:ilvl="0" w:tentative="0">
      <w:start w:val="9"/>
      <w:numFmt w:val="chineseCounting"/>
      <w:suff w:val="nothing"/>
      <w:lvlText w:val="（%1）"/>
      <w:lvlJc w:val="left"/>
      <w:pPr>
        <w:ind w:left="0" w:firstLine="420"/>
      </w:pPr>
      <w:rPr>
        <w:rFonts w:hint="eastAsia"/>
      </w:rPr>
    </w:lvl>
  </w:abstractNum>
  <w:abstractNum w:abstractNumId="1">
    <w:nsid w:val="8EAC6489"/>
    <w:multiLevelType w:val="multilevel"/>
    <w:tmpl w:val="8EAC6489"/>
    <w:lvl w:ilvl="0" w:tentative="0">
      <w:start w:val="1"/>
      <w:numFmt w:val="chineseCounting"/>
      <w:suff w:val="nothing"/>
      <w:lvlText w:val="%1、"/>
      <w:lvlJc w:val="left"/>
      <w:pPr>
        <w:ind w:left="0" w:firstLine="42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A94435CE"/>
    <w:multiLevelType w:val="singleLevel"/>
    <w:tmpl w:val="A94435CE"/>
    <w:lvl w:ilvl="0" w:tentative="0">
      <w:start w:val="3"/>
      <w:numFmt w:val="chineseCounting"/>
      <w:suff w:val="nothing"/>
      <w:lvlText w:val="（%1）"/>
      <w:lvlJc w:val="left"/>
      <w:pPr>
        <w:ind w:left="0" w:firstLine="420"/>
      </w:pPr>
      <w:rPr>
        <w:rFonts w:hint="eastAsia"/>
      </w:rPr>
    </w:lvl>
  </w:abstractNum>
  <w:abstractNum w:abstractNumId="3">
    <w:nsid w:val="ABCE32F6"/>
    <w:multiLevelType w:val="singleLevel"/>
    <w:tmpl w:val="ABCE32F6"/>
    <w:lvl w:ilvl="0" w:tentative="0">
      <w:start w:val="8"/>
      <w:numFmt w:val="chineseCounting"/>
      <w:suff w:val="nothing"/>
      <w:lvlText w:val="（%1）"/>
      <w:lvlJc w:val="left"/>
      <w:pPr>
        <w:ind w:left="0" w:firstLine="420"/>
      </w:pPr>
      <w:rPr>
        <w:rFonts w:hint="eastAsia"/>
      </w:rPr>
    </w:lvl>
  </w:abstractNum>
  <w:abstractNum w:abstractNumId="4">
    <w:nsid w:val="B32ED829"/>
    <w:multiLevelType w:val="singleLevel"/>
    <w:tmpl w:val="B32ED829"/>
    <w:lvl w:ilvl="0" w:tentative="0">
      <w:start w:val="7"/>
      <w:numFmt w:val="chineseCounting"/>
      <w:suff w:val="nothing"/>
      <w:lvlText w:val="（%1）"/>
      <w:lvlJc w:val="left"/>
      <w:pPr>
        <w:ind w:left="0" w:firstLine="420"/>
      </w:pPr>
      <w:rPr>
        <w:rFonts w:hint="eastAsia"/>
      </w:rPr>
    </w:lvl>
  </w:abstractNum>
  <w:abstractNum w:abstractNumId="5">
    <w:nsid w:val="B36E8F64"/>
    <w:multiLevelType w:val="multilevel"/>
    <w:tmpl w:val="B36E8F64"/>
    <w:lvl w:ilvl="0" w:tentative="0">
      <w:start w:val="1"/>
      <w:numFmt w:val="chineseCounting"/>
      <w:suff w:val="nothing"/>
      <w:lvlText w:val="%1、"/>
      <w:lvlJc w:val="left"/>
      <w:pPr>
        <w:ind w:left="0" w:firstLine="42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BAE6D562"/>
    <w:multiLevelType w:val="multilevel"/>
    <w:tmpl w:val="BAE6D562"/>
    <w:lvl w:ilvl="0" w:tentative="0">
      <w:start w:val="3"/>
      <w:numFmt w:val="chineseCounting"/>
      <w:suff w:val="nothing"/>
      <w:lvlText w:val="%1、"/>
      <w:lvlJc w:val="left"/>
      <w:pPr>
        <w:ind w:left="0" w:firstLine="42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BD7D4D67"/>
    <w:multiLevelType w:val="singleLevel"/>
    <w:tmpl w:val="BD7D4D67"/>
    <w:lvl w:ilvl="0" w:tentative="0">
      <w:start w:val="3"/>
      <w:numFmt w:val="chineseCounting"/>
      <w:suff w:val="nothing"/>
      <w:lvlText w:val="%1、"/>
      <w:lvlJc w:val="left"/>
      <w:pPr>
        <w:ind w:left="0" w:firstLine="420"/>
      </w:pPr>
      <w:rPr>
        <w:rFonts w:hint="eastAsia"/>
      </w:rPr>
    </w:lvl>
  </w:abstractNum>
  <w:abstractNum w:abstractNumId="8">
    <w:nsid w:val="BF5A7D9E"/>
    <w:multiLevelType w:val="singleLevel"/>
    <w:tmpl w:val="BF5A7D9E"/>
    <w:lvl w:ilvl="0" w:tentative="0">
      <w:start w:val="4"/>
      <w:numFmt w:val="chineseCounting"/>
      <w:suff w:val="nothing"/>
      <w:lvlText w:val="（%1）"/>
      <w:lvlJc w:val="left"/>
      <w:pPr>
        <w:ind w:left="0" w:firstLine="420"/>
      </w:pPr>
      <w:rPr>
        <w:rFonts w:hint="eastAsia"/>
      </w:rPr>
    </w:lvl>
  </w:abstractNum>
  <w:abstractNum w:abstractNumId="9">
    <w:nsid w:val="C053791D"/>
    <w:multiLevelType w:val="multilevel"/>
    <w:tmpl w:val="C053791D"/>
    <w:lvl w:ilvl="0" w:tentative="0">
      <w:start w:val="1"/>
      <w:numFmt w:val="chineseCounting"/>
      <w:suff w:val="nothing"/>
      <w:lvlText w:val="%1、"/>
      <w:lvlJc w:val="left"/>
      <w:pPr>
        <w:ind w:left="0" w:firstLine="42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D9EC0D96"/>
    <w:multiLevelType w:val="singleLevel"/>
    <w:tmpl w:val="D9EC0D96"/>
    <w:lvl w:ilvl="0" w:tentative="0">
      <w:start w:val="1"/>
      <w:numFmt w:val="chineseCounting"/>
      <w:suff w:val="nothing"/>
      <w:lvlText w:val="（%1）"/>
      <w:lvlJc w:val="left"/>
      <w:pPr>
        <w:ind w:left="0" w:firstLine="420"/>
      </w:pPr>
      <w:rPr>
        <w:rFonts w:hint="eastAsia"/>
      </w:rPr>
    </w:lvl>
  </w:abstractNum>
  <w:abstractNum w:abstractNumId="11">
    <w:nsid w:val="ED4ECFC1"/>
    <w:multiLevelType w:val="singleLevel"/>
    <w:tmpl w:val="ED4ECFC1"/>
    <w:lvl w:ilvl="0" w:tentative="0">
      <w:start w:val="4"/>
      <w:numFmt w:val="chineseCounting"/>
      <w:suff w:val="nothing"/>
      <w:lvlText w:val="（%1）"/>
      <w:lvlJc w:val="left"/>
      <w:pPr>
        <w:ind w:left="0" w:firstLine="420"/>
      </w:pPr>
      <w:rPr>
        <w:rFonts w:hint="eastAsia"/>
      </w:rPr>
    </w:lvl>
  </w:abstractNum>
  <w:abstractNum w:abstractNumId="12">
    <w:nsid w:val="F03EECDB"/>
    <w:multiLevelType w:val="singleLevel"/>
    <w:tmpl w:val="F03EECDB"/>
    <w:lvl w:ilvl="0" w:tentative="0">
      <w:start w:val="2"/>
      <w:numFmt w:val="decimal"/>
      <w:suff w:val="nothing"/>
      <w:lvlText w:val="%1．"/>
      <w:lvlJc w:val="left"/>
      <w:pPr>
        <w:ind w:left="0" w:firstLine="403"/>
      </w:pPr>
      <w:rPr>
        <w:rFonts w:hint="default"/>
      </w:rPr>
    </w:lvl>
  </w:abstractNum>
  <w:abstractNum w:abstractNumId="13">
    <w:nsid w:val="F8F8C95C"/>
    <w:multiLevelType w:val="singleLevel"/>
    <w:tmpl w:val="F8F8C95C"/>
    <w:lvl w:ilvl="0" w:tentative="0">
      <w:start w:val="5"/>
      <w:numFmt w:val="chineseCounting"/>
      <w:suff w:val="nothing"/>
      <w:lvlText w:val="（%1）"/>
      <w:lvlJc w:val="left"/>
      <w:pPr>
        <w:ind w:left="0" w:firstLine="420"/>
      </w:pPr>
      <w:rPr>
        <w:rFonts w:hint="eastAsia"/>
      </w:rPr>
    </w:lvl>
  </w:abstractNum>
  <w:abstractNum w:abstractNumId="14">
    <w:nsid w:val="F9B558CC"/>
    <w:multiLevelType w:val="multilevel"/>
    <w:tmpl w:val="F9B558CC"/>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004457F7"/>
    <w:multiLevelType w:val="singleLevel"/>
    <w:tmpl w:val="004457F7"/>
    <w:lvl w:ilvl="0" w:tentative="0">
      <w:start w:val="6"/>
      <w:numFmt w:val="chineseCounting"/>
      <w:suff w:val="nothing"/>
      <w:lvlText w:val="（%1）"/>
      <w:lvlJc w:val="left"/>
      <w:pPr>
        <w:ind w:left="0" w:firstLine="420"/>
      </w:pPr>
      <w:rPr>
        <w:rFonts w:hint="eastAsia"/>
      </w:rPr>
    </w:lvl>
  </w:abstractNum>
  <w:abstractNum w:abstractNumId="16">
    <w:nsid w:val="11FAA37F"/>
    <w:multiLevelType w:val="singleLevel"/>
    <w:tmpl w:val="11FAA37F"/>
    <w:lvl w:ilvl="0" w:tentative="0">
      <w:start w:val="1"/>
      <w:numFmt w:val="chineseCounting"/>
      <w:suff w:val="nothing"/>
      <w:lvlText w:val="（%1）"/>
      <w:lvlJc w:val="left"/>
      <w:pPr>
        <w:ind w:left="0" w:firstLine="420"/>
      </w:pPr>
      <w:rPr>
        <w:rFonts w:hint="eastAsia"/>
      </w:rPr>
    </w:lvl>
  </w:abstractNum>
  <w:abstractNum w:abstractNumId="17">
    <w:nsid w:val="150E4FF4"/>
    <w:multiLevelType w:val="singleLevel"/>
    <w:tmpl w:val="150E4FF4"/>
    <w:lvl w:ilvl="0" w:tentative="0">
      <w:start w:val="2"/>
      <w:numFmt w:val="chineseCounting"/>
      <w:suff w:val="nothing"/>
      <w:lvlText w:val="%1、"/>
      <w:lvlJc w:val="left"/>
      <w:pPr>
        <w:ind w:left="0" w:firstLine="420"/>
      </w:pPr>
      <w:rPr>
        <w:rFonts w:hint="eastAsia"/>
      </w:rPr>
    </w:lvl>
  </w:abstractNum>
  <w:abstractNum w:abstractNumId="18">
    <w:nsid w:val="1C29938D"/>
    <w:multiLevelType w:val="singleLevel"/>
    <w:tmpl w:val="1C29938D"/>
    <w:lvl w:ilvl="0" w:tentative="0">
      <w:start w:val="6"/>
      <w:numFmt w:val="chineseCounting"/>
      <w:suff w:val="nothing"/>
      <w:lvlText w:val="（%1）"/>
      <w:lvlJc w:val="left"/>
      <w:pPr>
        <w:ind w:left="0" w:firstLine="420"/>
      </w:pPr>
      <w:rPr>
        <w:rFonts w:hint="eastAsia"/>
      </w:rPr>
    </w:lvl>
  </w:abstractNum>
  <w:abstractNum w:abstractNumId="19">
    <w:nsid w:val="2C066C63"/>
    <w:multiLevelType w:val="singleLevel"/>
    <w:tmpl w:val="2C066C63"/>
    <w:lvl w:ilvl="0" w:tentative="0">
      <w:start w:val="10"/>
      <w:numFmt w:val="chineseCounting"/>
      <w:suff w:val="nothing"/>
      <w:lvlText w:val="（%1）"/>
      <w:lvlJc w:val="left"/>
      <w:pPr>
        <w:ind w:left="0" w:firstLine="420"/>
      </w:pPr>
      <w:rPr>
        <w:rFonts w:hint="eastAsia"/>
      </w:rPr>
    </w:lvl>
  </w:abstractNum>
  <w:abstractNum w:abstractNumId="20">
    <w:nsid w:val="2CB4E8A4"/>
    <w:multiLevelType w:val="singleLevel"/>
    <w:tmpl w:val="2CB4E8A4"/>
    <w:lvl w:ilvl="0" w:tentative="0">
      <w:start w:val="1"/>
      <w:numFmt w:val="chineseCounting"/>
      <w:suff w:val="nothing"/>
      <w:lvlText w:val="%1、"/>
      <w:lvlJc w:val="left"/>
      <w:pPr>
        <w:ind w:left="0" w:firstLine="420"/>
      </w:pPr>
      <w:rPr>
        <w:rFonts w:hint="eastAsia"/>
      </w:rPr>
    </w:lvl>
  </w:abstractNum>
  <w:abstractNum w:abstractNumId="21">
    <w:nsid w:val="309A0737"/>
    <w:multiLevelType w:val="singleLevel"/>
    <w:tmpl w:val="309A0737"/>
    <w:lvl w:ilvl="0" w:tentative="0">
      <w:start w:val="2"/>
      <w:numFmt w:val="chineseCounting"/>
      <w:suff w:val="nothing"/>
      <w:lvlText w:val="（%1）"/>
      <w:lvlJc w:val="left"/>
      <w:pPr>
        <w:ind w:left="0" w:firstLine="420"/>
      </w:pPr>
      <w:rPr>
        <w:rFonts w:hint="eastAsia"/>
      </w:rPr>
    </w:lvl>
  </w:abstractNum>
  <w:abstractNum w:abstractNumId="22">
    <w:nsid w:val="4E34E29F"/>
    <w:multiLevelType w:val="multilevel"/>
    <w:tmpl w:val="4E34E29F"/>
    <w:lvl w:ilvl="0" w:tentative="0">
      <w:start w:val="1"/>
      <w:numFmt w:val="chineseCounting"/>
      <w:suff w:val="nothing"/>
      <w:lvlText w:val="（%1）"/>
      <w:lvlJc w:val="left"/>
      <w:pPr>
        <w:ind w:left="0" w:firstLine="42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4E44C16A"/>
    <w:multiLevelType w:val="singleLevel"/>
    <w:tmpl w:val="4E44C16A"/>
    <w:lvl w:ilvl="0" w:tentative="0">
      <w:start w:val="2"/>
      <w:numFmt w:val="chineseCounting"/>
      <w:suff w:val="nothing"/>
      <w:lvlText w:val="（%1）"/>
      <w:lvlJc w:val="left"/>
      <w:pPr>
        <w:ind w:left="0" w:firstLine="420"/>
      </w:pPr>
      <w:rPr>
        <w:rFonts w:hint="eastAsia"/>
      </w:rPr>
    </w:lvl>
  </w:abstractNum>
  <w:abstractNum w:abstractNumId="24">
    <w:nsid w:val="4EE764B6"/>
    <w:multiLevelType w:val="multilevel"/>
    <w:tmpl w:val="4EE764B6"/>
    <w:lvl w:ilvl="0" w:tentative="0">
      <w:start w:val="1"/>
      <w:numFmt w:val="chineseCounting"/>
      <w:suff w:val="nothing"/>
      <w:lvlText w:val="（%1）"/>
      <w:lvlJc w:val="left"/>
      <w:pPr>
        <w:ind w:left="0" w:firstLine="42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50A4222D"/>
    <w:multiLevelType w:val="singleLevel"/>
    <w:tmpl w:val="50A4222D"/>
    <w:lvl w:ilvl="0" w:tentative="0">
      <w:start w:val="4"/>
      <w:numFmt w:val="chineseCounting"/>
      <w:suff w:val="nothing"/>
      <w:lvlText w:val="（%1）"/>
      <w:lvlJc w:val="left"/>
      <w:pPr>
        <w:ind w:left="0" w:firstLine="420"/>
      </w:pPr>
      <w:rPr>
        <w:rFonts w:hint="eastAsia"/>
      </w:rPr>
    </w:lvl>
  </w:abstractNum>
  <w:abstractNum w:abstractNumId="26">
    <w:nsid w:val="61AF3FF7"/>
    <w:multiLevelType w:val="singleLevel"/>
    <w:tmpl w:val="61AF3FF7"/>
    <w:lvl w:ilvl="0" w:tentative="0">
      <w:start w:val="7"/>
      <w:numFmt w:val="chineseCounting"/>
      <w:suff w:val="nothing"/>
      <w:lvlText w:val="（%1）"/>
      <w:lvlJc w:val="left"/>
      <w:pPr>
        <w:ind w:left="0" w:firstLine="420"/>
      </w:pPr>
      <w:rPr>
        <w:rFonts w:hint="eastAsia"/>
      </w:rPr>
    </w:lvl>
  </w:abstractNum>
  <w:abstractNum w:abstractNumId="27">
    <w:nsid w:val="61CD1F99"/>
    <w:multiLevelType w:val="singleLevel"/>
    <w:tmpl w:val="61CD1F99"/>
    <w:lvl w:ilvl="0" w:tentative="0">
      <w:start w:val="5"/>
      <w:numFmt w:val="chineseCounting"/>
      <w:suff w:val="nothing"/>
      <w:lvlText w:val="（%1）"/>
      <w:lvlJc w:val="left"/>
      <w:pPr>
        <w:ind w:left="0" w:firstLine="420"/>
      </w:pPr>
      <w:rPr>
        <w:rFonts w:hint="eastAsia"/>
      </w:rPr>
    </w:lvl>
  </w:abstractNum>
  <w:abstractNum w:abstractNumId="28">
    <w:nsid w:val="635BBB8D"/>
    <w:multiLevelType w:val="singleLevel"/>
    <w:tmpl w:val="635BBB8D"/>
    <w:lvl w:ilvl="0" w:tentative="0">
      <w:start w:val="1"/>
      <w:numFmt w:val="decimal"/>
      <w:suff w:val="nothing"/>
      <w:lvlText w:val="%1．"/>
      <w:lvlJc w:val="left"/>
      <w:pPr>
        <w:ind w:left="0" w:firstLine="400"/>
      </w:pPr>
      <w:rPr>
        <w:rFonts w:hint="default"/>
      </w:rPr>
    </w:lvl>
  </w:abstractNum>
  <w:abstractNum w:abstractNumId="29">
    <w:nsid w:val="64397842"/>
    <w:multiLevelType w:val="singleLevel"/>
    <w:tmpl w:val="64397842"/>
    <w:lvl w:ilvl="0" w:tentative="0">
      <w:start w:val="1"/>
      <w:numFmt w:val="chineseCounting"/>
      <w:suff w:val="nothing"/>
      <w:lvlText w:val="（%1）"/>
      <w:lvlJc w:val="left"/>
      <w:pPr>
        <w:ind w:left="0" w:firstLine="420"/>
      </w:pPr>
      <w:rPr>
        <w:rFonts w:hint="eastAsia"/>
      </w:rPr>
    </w:lvl>
  </w:abstractNum>
  <w:abstractNum w:abstractNumId="30">
    <w:nsid w:val="64DF3581"/>
    <w:multiLevelType w:val="singleLevel"/>
    <w:tmpl w:val="64DF3581"/>
    <w:lvl w:ilvl="0" w:tentative="0">
      <w:start w:val="1"/>
      <w:numFmt w:val="chineseCounting"/>
      <w:suff w:val="nothing"/>
      <w:lvlText w:val="（%1）"/>
      <w:lvlJc w:val="left"/>
      <w:pPr>
        <w:ind w:left="0" w:firstLine="420"/>
      </w:pPr>
      <w:rPr>
        <w:rFonts w:hint="eastAsia"/>
      </w:rPr>
    </w:lvl>
  </w:abstractNum>
  <w:abstractNum w:abstractNumId="31">
    <w:nsid w:val="68F7FA30"/>
    <w:multiLevelType w:val="singleLevel"/>
    <w:tmpl w:val="68F7FA30"/>
    <w:lvl w:ilvl="0" w:tentative="0">
      <w:start w:val="2"/>
      <w:numFmt w:val="chineseCounting"/>
      <w:suff w:val="nothing"/>
      <w:lvlText w:val="%1、"/>
      <w:lvlJc w:val="left"/>
      <w:pPr>
        <w:ind w:left="0" w:firstLine="420"/>
      </w:pPr>
      <w:rPr>
        <w:rFonts w:hint="eastAsia"/>
      </w:rPr>
    </w:lvl>
  </w:abstractNum>
  <w:abstractNum w:abstractNumId="32">
    <w:nsid w:val="6C9C6548"/>
    <w:multiLevelType w:val="singleLevel"/>
    <w:tmpl w:val="6C9C6548"/>
    <w:lvl w:ilvl="0" w:tentative="0">
      <w:start w:val="3"/>
      <w:numFmt w:val="chineseCounting"/>
      <w:suff w:val="nothing"/>
      <w:lvlText w:val="（%1）"/>
      <w:lvlJc w:val="left"/>
      <w:pPr>
        <w:ind w:left="0" w:firstLine="420"/>
      </w:pPr>
      <w:rPr>
        <w:rFonts w:hint="eastAsia"/>
      </w:rPr>
    </w:lvl>
  </w:abstractNum>
  <w:abstractNum w:abstractNumId="33">
    <w:nsid w:val="725A23DE"/>
    <w:multiLevelType w:val="singleLevel"/>
    <w:tmpl w:val="725A23DE"/>
    <w:lvl w:ilvl="0" w:tentative="0">
      <w:start w:val="1"/>
      <w:numFmt w:val="chineseCounting"/>
      <w:suff w:val="nothing"/>
      <w:lvlText w:val="%1、"/>
      <w:lvlJc w:val="left"/>
      <w:pPr>
        <w:ind w:left="0" w:firstLine="420"/>
      </w:pPr>
      <w:rPr>
        <w:rFonts w:hint="eastAsia"/>
      </w:rPr>
    </w:lvl>
  </w:abstractNum>
  <w:abstractNum w:abstractNumId="34">
    <w:nsid w:val="7542F93A"/>
    <w:multiLevelType w:val="singleLevel"/>
    <w:tmpl w:val="7542F93A"/>
    <w:lvl w:ilvl="0" w:tentative="0">
      <w:start w:val="2"/>
      <w:numFmt w:val="chineseCounting"/>
      <w:suff w:val="nothing"/>
      <w:lvlText w:val="（%1）"/>
      <w:lvlJc w:val="left"/>
      <w:pPr>
        <w:ind w:left="0" w:firstLine="420"/>
      </w:pPr>
      <w:rPr>
        <w:rFonts w:hint="eastAsia"/>
      </w:rPr>
    </w:lvl>
  </w:abstractNum>
  <w:abstractNum w:abstractNumId="35">
    <w:nsid w:val="7C01E1B8"/>
    <w:multiLevelType w:val="singleLevel"/>
    <w:tmpl w:val="7C01E1B8"/>
    <w:lvl w:ilvl="0" w:tentative="0">
      <w:start w:val="3"/>
      <w:numFmt w:val="chineseCounting"/>
      <w:suff w:val="nothing"/>
      <w:lvlText w:val="（%1）"/>
      <w:lvlJc w:val="left"/>
      <w:pPr>
        <w:ind w:left="0" w:firstLine="420"/>
      </w:pPr>
      <w:rPr>
        <w:rFonts w:hint="eastAsia"/>
      </w:rPr>
    </w:lvl>
  </w:abstractNum>
  <w:abstractNum w:abstractNumId="36">
    <w:nsid w:val="7EB835D4"/>
    <w:multiLevelType w:val="singleLevel"/>
    <w:tmpl w:val="7EB835D4"/>
    <w:lvl w:ilvl="0" w:tentative="0">
      <w:start w:val="11"/>
      <w:numFmt w:val="chineseCounting"/>
      <w:suff w:val="nothing"/>
      <w:lvlText w:val="（%1）"/>
      <w:lvlJc w:val="left"/>
      <w:pPr>
        <w:ind w:left="0" w:firstLine="420"/>
      </w:pPr>
      <w:rPr>
        <w:rFonts w:hint="eastAsia"/>
      </w:rPr>
    </w:lvl>
  </w:abstractNum>
  <w:num w:numId="1">
    <w:abstractNumId w:val="1"/>
  </w:num>
  <w:num w:numId="2">
    <w:abstractNumId w:val="9"/>
  </w:num>
  <w:num w:numId="3">
    <w:abstractNumId w:val="24"/>
  </w:num>
  <w:num w:numId="4">
    <w:abstractNumId w:val="14"/>
  </w:num>
  <w:num w:numId="5">
    <w:abstractNumId w:val="6"/>
  </w:num>
  <w:num w:numId="6">
    <w:abstractNumId w:val="22"/>
  </w:num>
  <w:num w:numId="7">
    <w:abstractNumId w:val="5"/>
  </w:num>
  <w:num w:numId="8">
    <w:abstractNumId w:val="20"/>
  </w:num>
  <w:num w:numId="9">
    <w:abstractNumId w:val="10"/>
  </w:num>
  <w:num w:numId="10">
    <w:abstractNumId w:val="31"/>
  </w:num>
  <w:num w:numId="11">
    <w:abstractNumId w:val="33"/>
  </w:num>
  <w:num w:numId="12">
    <w:abstractNumId w:val="17"/>
  </w:num>
  <w:num w:numId="13">
    <w:abstractNumId w:val="30"/>
  </w:num>
  <w:num w:numId="14">
    <w:abstractNumId w:val="34"/>
  </w:num>
  <w:num w:numId="15">
    <w:abstractNumId w:val="32"/>
  </w:num>
  <w:num w:numId="16">
    <w:abstractNumId w:val="11"/>
  </w:num>
  <w:num w:numId="17">
    <w:abstractNumId w:val="27"/>
  </w:num>
  <w:num w:numId="18">
    <w:abstractNumId w:val="15"/>
  </w:num>
  <w:num w:numId="19">
    <w:abstractNumId w:val="26"/>
  </w:num>
  <w:num w:numId="20">
    <w:abstractNumId w:val="28"/>
  </w:num>
  <w:num w:numId="21">
    <w:abstractNumId w:val="12"/>
  </w:num>
  <w:num w:numId="22">
    <w:abstractNumId w:val="7"/>
  </w:num>
  <w:num w:numId="23">
    <w:abstractNumId w:val="29"/>
  </w:num>
  <w:num w:numId="24">
    <w:abstractNumId w:val="21"/>
  </w:num>
  <w:num w:numId="25">
    <w:abstractNumId w:val="35"/>
  </w:num>
  <w:num w:numId="26">
    <w:abstractNumId w:val="8"/>
  </w:num>
  <w:num w:numId="27">
    <w:abstractNumId w:val="16"/>
  </w:num>
  <w:num w:numId="28">
    <w:abstractNumId w:val="23"/>
  </w:num>
  <w:num w:numId="29">
    <w:abstractNumId w:val="2"/>
  </w:num>
  <w:num w:numId="30">
    <w:abstractNumId w:val="25"/>
  </w:num>
  <w:num w:numId="31">
    <w:abstractNumId w:val="13"/>
  </w:num>
  <w:num w:numId="32">
    <w:abstractNumId w:val="18"/>
  </w:num>
  <w:num w:numId="33">
    <w:abstractNumId w:val="4"/>
  </w:num>
  <w:num w:numId="34">
    <w:abstractNumId w:val="3"/>
  </w:num>
  <w:num w:numId="35">
    <w:abstractNumId w:val="0"/>
  </w:num>
  <w:num w:numId="36">
    <w:abstractNumId w:val="1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6EF5F70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nhideWhenUsed/>
    <w:uiPriority w:val="99"/>
    <w:tblPr>
      <w:tblCellMar>
        <w:top w:w="0" w:type="dxa"/>
        <w:left w:w="108" w:type="dxa"/>
        <w:bottom w:w="0" w:type="dxa"/>
        <w:right w:w="108" w:type="dxa"/>
      </w:tblCellMar>
    </w:tblPr>
  </w:style>
  <w:style w:type="paragraph" w:customStyle="1" w:styleId="4">
    <w:name w:val="样式1"/>
    <w:basedOn w:val="1"/>
    <w:qFormat/>
    <w:uiPriority w:val="0"/>
    <w:pPr>
      <w:spacing w:line="500" w:lineRule="exact"/>
      <w:ind w:firstLine="560" w:firstLineChars="200"/>
    </w:pPr>
    <w:rPr>
      <w:rFonts w:ascii="宋体" w:hAnsi="宋体" w:eastAsia="仿宋_GB2312"/>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2019-09-05T15:23:00Z</dcterms:created>
  <dc:creator>静静想静静</dc:creator>
  <cp:lastModifiedBy>kylin</cp:lastModifiedBy>
  <cp:lastPrinted>2019-09-06T09:10:00Z</cp:lastPrinted>
  <dcterms:modified xsi:type="dcterms:W3CDTF">2025-06-25T11:43:12Z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