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adjustRightInd w:val="0"/>
        <w:snapToGrid w:val="0"/>
        <w:spacing w:before="0" w:beforeAutospacing="1" w:after="0" w:afterAutospacing="1"/>
        <w:ind w:left="0" w:right="0" w:firstLine="601"/>
        <w:jc w:val="center"/>
        <w:rPr>
          <w:rFonts w:hint="default" w:ascii="仿宋_GB2312" w:hAnsi="Times New Roman" w:eastAsia="仿宋_GB2312" w:cs="仿宋_GB2312"/>
          <w:b/>
          <w:color w:val="FF0000"/>
          <w:kern w:val="0"/>
          <w:sz w:val="44"/>
          <w:szCs w:val="44"/>
          <w:lang w:val="en-US" w:eastAsia="zh-CN" w:bidi="ar"/>
        </w:rPr>
      </w:pPr>
    </w:p>
    <w:p>
      <w:pPr>
        <w:keepNext w:val="0"/>
        <w:keepLines w:val="0"/>
        <w:widowControl/>
        <w:suppressLineNumbers w:val="0"/>
        <w:adjustRightInd w:val="0"/>
        <w:snapToGrid w:val="0"/>
        <w:spacing w:before="0" w:beforeAutospacing="1" w:after="0" w:afterAutospacing="1"/>
        <w:ind w:left="0" w:right="0" w:firstLine="601"/>
        <w:jc w:val="center"/>
        <w:rPr>
          <w:rFonts w:hint="default" w:ascii="仿宋_GB2312" w:hAnsi="Times New Roman" w:eastAsia="仿宋_GB2312" w:cs="仿宋_GB2312"/>
          <w:b/>
          <w:color w:val="FF0000"/>
          <w:kern w:val="0"/>
          <w:sz w:val="44"/>
          <w:szCs w:val="44"/>
          <w:lang w:val="en-US" w:eastAsia="zh-CN" w:bidi="ar"/>
        </w:rPr>
      </w:pPr>
    </w:p>
    <w:p>
      <w:pPr>
        <w:keepNext w:val="0"/>
        <w:keepLines w:val="0"/>
        <w:widowControl/>
        <w:suppressLineNumbers w:val="0"/>
        <w:adjustRightInd w:val="0"/>
        <w:snapToGrid w:val="0"/>
        <w:spacing w:before="0" w:beforeAutospacing="1" w:after="0" w:afterAutospacing="1"/>
        <w:ind w:left="0" w:right="0" w:firstLine="601"/>
        <w:jc w:val="center"/>
        <w:rPr>
          <w:rFonts w:hint="default" w:ascii="仿宋_GB2312" w:hAnsi="Times New Roman" w:eastAsia="仿宋_GB2312" w:cs="仿宋_GB2312"/>
          <w:b/>
          <w:color w:val="FF0000"/>
          <w:kern w:val="0"/>
          <w:sz w:val="44"/>
          <w:szCs w:val="44"/>
          <w:lang w:val="en-US" w:eastAsia="zh-CN" w:bidi="ar"/>
        </w:rPr>
      </w:pPr>
    </w:p>
    <w:p>
      <w:pPr>
        <w:keepNext w:val="0"/>
        <w:keepLines w:val="0"/>
        <w:widowControl/>
        <w:suppressLineNumbers w:val="0"/>
        <w:adjustRightInd w:val="0"/>
        <w:snapToGrid w:val="0"/>
        <w:spacing w:before="0" w:beforeAutospacing="1" w:after="0" w:afterAutospacing="1"/>
        <w:ind w:left="0" w:right="0" w:firstLine="601"/>
        <w:jc w:val="center"/>
        <w:rPr>
          <w:rFonts w:hint="default" w:ascii="仿宋_GB2312" w:hAnsi="Times New Roman" w:eastAsia="仿宋_GB2312" w:cs="仿宋_GB2312"/>
          <w:b/>
          <w:color w:val="FF0000"/>
          <w:kern w:val="0"/>
          <w:sz w:val="44"/>
          <w:szCs w:val="44"/>
          <w:lang w:val="en-US" w:eastAsia="zh-CN" w:bidi="ar"/>
        </w:rPr>
      </w:pPr>
    </w:p>
    <w:p>
      <w:pPr>
        <w:keepNext w:val="0"/>
        <w:keepLines w:val="0"/>
        <w:widowControl/>
        <w:suppressLineNumbers w:val="0"/>
        <w:adjustRightInd w:val="0"/>
        <w:snapToGrid w:val="0"/>
        <w:spacing w:before="0" w:beforeAutospacing="1" w:after="0" w:afterAutospacing="1"/>
        <w:ind w:left="0" w:right="0" w:firstLine="601"/>
        <w:jc w:val="center"/>
        <w:rPr>
          <w:rFonts w:hint="default" w:ascii="仿宋_GB2312" w:hAnsi="Times New Roman" w:eastAsia="仿宋_GB2312" w:cs="仿宋_GB2312"/>
          <w:b/>
          <w:color w:val="FF0000"/>
          <w:kern w:val="0"/>
          <w:sz w:val="44"/>
          <w:szCs w:val="44"/>
          <w:lang w:val="en-US" w:eastAsia="zh-CN" w:bidi="ar"/>
        </w:rPr>
      </w:pPr>
    </w:p>
    <w:p>
      <w:pPr>
        <w:keepNext w:val="0"/>
        <w:keepLines w:val="0"/>
        <w:widowControl/>
        <w:suppressLineNumbers w:val="0"/>
        <w:adjustRightInd w:val="0"/>
        <w:snapToGrid w:val="0"/>
        <w:spacing w:before="0" w:beforeAutospacing="1" w:after="0" w:afterAutospacing="1"/>
        <w:ind w:left="0" w:right="0" w:firstLine="601"/>
        <w:jc w:val="center"/>
        <w:rPr>
          <w:rFonts w:hint="default" w:ascii="仿宋_GB2312" w:hAnsi="Times New Roman" w:eastAsia="仿宋_GB2312" w:cs="仿宋_GB2312"/>
          <w:b/>
          <w:color w:val="FF0000"/>
          <w:kern w:val="0"/>
          <w:sz w:val="44"/>
          <w:szCs w:val="44"/>
          <w:lang w:val="en-US" w:eastAsia="zh-CN" w:bidi="ar"/>
        </w:rPr>
      </w:pPr>
    </w:p>
    <w:p>
      <w:pPr>
        <w:keepNext w:val="0"/>
        <w:keepLines w:val="0"/>
        <w:widowControl/>
        <w:suppressLineNumbers w:val="0"/>
        <w:adjustRightInd w:val="0"/>
        <w:snapToGrid w:val="0"/>
        <w:spacing w:before="0" w:beforeAutospacing="1" w:after="0" w:afterAutospacing="1"/>
        <w:ind w:left="0" w:right="0" w:firstLine="601"/>
        <w:jc w:val="center"/>
        <w:rPr>
          <w:rFonts w:hint="default" w:ascii="仿宋_GB2312" w:hAnsi="Times New Roman" w:eastAsia="仿宋_GB2312" w:cs="仿宋_GB2312"/>
          <w:b/>
          <w:color w:val="FF0000"/>
          <w:kern w:val="0"/>
          <w:sz w:val="44"/>
          <w:szCs w:val="44"/>
          <w:lang w:val="en-US" w:eastAsia="zh-CN" w:bidi="ar"/>
        </w:rPr>
      </w:pPr>
      <w:bookmarkStart w:id="0" w:name="_GoBack"/>
      <w:bookmarkEnd w:id="0"/>
    </w:p>
    <w:p>
      <w:pPr>
        <w:keepNext w:val="0"/>
        <w:keepLines w:val="0"/>
        <w:widowControl/>
        <w:suppressLineNumbers w:val="0"/>
        <w:adjustRightInd w:val="0"/>
        <w:snapToGrid w:val="0"/>
        <w:spacing w:before="0" w:beforeAutospacing="1" w:after="0" w:afterAutospacing="1"/>
        <w:ind w:left="0" w:right="0" w:firstLine="601"/>
        <w:jc w:val="center"/>
        <w:rPr>
          <w:rFonts w:hint="default" w:ascii="仿宋_GB2312" w:hAnsi="Times New Roman" w:eastAsia="仿宋_GB2312" w:cs="仿宋_GB2312"/>
          <w:b/>
          <w:color w:val="FF0000"/>
          <w:kern w:val="0"/>
          <w:sz w:val="44"/>
          <w:szCs w:val="44"/>
          <w:lang w:val="en-US" w:eastAsia="zh-CN" w:bidi="ar"/>
        </w:rPr>
      </w:pPr>
    </w:p>
    <w:p>
      <w:pPr>
        <w:keepNext w:val="0"/>
        <w:keepLines w:val="0"/>
        <w:widowControl/>
        <w:suppressLineNumbers w:val="0"/>
        <w:adjustRightInd w:val="0"/>
        <w:snapToGrid w:val="0"/>
        <w:spacing w:before="0" w:beforeAutospacing="1" w:after="0" w:afterAutospacing="1"/>
        <w:ind w:right="0"/>
        <w:jc w:val="center"/>
        <w:rPr>
          <w:rFonts w:hint="eastAsia" w:ascii="宋体" w:hAnsi="宋体" w:eastAsia="宋体" w:cs="宋体"/>
          <w:color w:val="auto"/>
          <w:kern w:val="0"/>
          <w:sz w:val="24"/>
          <w:szCs w:val="24"/>
        </w:rPr>
      </w:pPr>
      <w:r>
        <w:rPr>
          <w:rFonts w:hint="eastAsia" w:ascii="仿宋_GB2312" w:hAnsi="Times New Roman" w:eastAsia="仿宋_GB2312" w:cs="仿宋_GB2312"/>
          <w:b/>
          <w:color w:val="FF0000"/>
          <w:kern w:val="0"/>
          <w:sz w:val="44"/>
          <w:szCs w:val="44"/>
          <w:lang w:val="en-US" w:eastAsia="zh-CN" w:bidi="ar"/>
        </w:rPr>
        <w:t xml:space="preserve"> </w:t>
      </w:r>
      <w:r>
        <w:rPr>
          <w:rFonts w:hint="eastAsia" w:ascii="仿宋_GB2312" w:hAnsi="Times New Roman" w:eastAsia="仿宋_GB2312" w:cs="仿宋_GB2312"/>
          <w:b/>
          <w:color w:val="auto"/>
          <w:kern w:val="0"/>
          <w:sz w:val="44"/>
          <w:szCs w:val="44"/>
          <w:lang w:val="en-US" w:eastAsia="zh-CN" w:bidi="ar"/>
        </w:rPr>
        <w:t xml:space="preserve"> </w:t>
      </w:r>
      <w:r>
        <w:rPr>
          <w:rFonts w:hint="default" w:ascii="仿宋_GB2312" w:hAnsi="Times New Roman" w:eastAsia="仿宋_GB2312" w:cs="仿宋_GB2312"/>
          <w:b/>
          <w:color w:val="auto"/>
          <w:kern w:val="0"/>
          <w:sz w:val="44"/>
          <w:szCs w:val="44"/>
          <w:lang w:val="en-US" w:eastAsia="zh-CN" w:bidi="ar"/>
        </w:rPr>
        <w:t>呼伦贝尔市自然资源局</w:t>
      </w:r>
    </w:p>
    <w:p>
      <w:pPr>
        <w:keepNext w:val="0"/>
        <w:keepLines w:val="0"/>
        <w:widowControl/>
        <w:suppressLineNumbers w:val="0"/>
        <w:adjustRightInd w:val="0"/>
        <w:snapToGrid w:val="0"/>
        <w:spacing w:before="0" w:beforeAutospacing="1" w:after="0" w:afterAutospacing="1"/>
        <w:ind w:left="0" w:right="0" w:firstLine="601"/>
        <w:jc w:val="center"/>
        <w:rPr>
          <w:rFonts w:hint="default" w:ascii="Times New Roman" w:hAnsi="Times New Roman" w:eastAsia="仿宋_GB2312" w:cs="Times New Roman"/>
          <w:b/>
          <w:color w:val="auto"/>
          <w:kern w:val="0"/>
          <w:sz w:val="36"/>
          <w:szCs w:val="36"/>
          <w:lang w:val="en-US" w:eastAsia="zh-CN" w:bidi="ar"/>
        </w:rPr>
      </w:pPr>
      <w:r>
        <w:rPr>
          <w:rFonts w:hint="default" w:ascii="仿宋_GB2312" w:hAnsi="Times New Roman" w:eastAsia="仿宋_GB2312" w:cs="仿宋_GB2312"/>
          <w:b/>
          <w:color w:val="auto"/>
          <w:kern w:val="0"/>
          <w:sz w:val="44"/>
          <w:szCs w:val="44"/>
          <w:lang w:val="en-US" w:eastAsia="zh-CN" w:bidi="ar"/>
        </w:rPr>
        <w:t>2019年度决算公开报告</w:t>
      </w:r>
    </w:p>
    <w:p>
      <w:pPr>
        <w:keepNext w:val="0"/>
        <w:keepLines w:val="0"/>
        <w:widowControl/>
        <w:suppressLineNumbers w:val="0"/>
        <w:adjustRightInd w:val="0"/>
        <w:snapToGrid w:val="0"/>
        <w:spacing w:before="0" w:beforeAutospacing="1" w:after="0" w:afterAutospacing="1" w:line="580" w:lineRule="exact"/>
        <w:ind w:left="0" w:right="0" w:firstLine="600"/>
        <w:jc w:val="center"/>
        <w:rPr>
          <w:rFonts w:hint="default" w:ascii="Times New Roman" w:hAnsi="Times New Roman" w:eastAsia="仿宋_GB2312" w:cs="Times New Roman"/>
          <w:b/>
          <w:color w:val="auto"/>
          <w:kern w:val="0"/>
          <w:sz w:val="36"/>
          <w:szCs w:val="36"/>
          <w:lang w:val="en-US" w:eastAsia="zh-CN" w:bidi="ar"/>
        </w:rPr>
      </w:pPr>
    </w:p>
    <w:p>
      <w:pPr>
        <w:keepNext w:val="0"/>
        <w:keepLines w:val="0"/>
        <w:widowControl/>
        <w:suppressLineNumbers w:val="0"/>
        <w:adjustRightInd w:val="0"/>
        <w:snapToGrid w:val="0"/>
        <w:spacing w:before="0" w:beforeAutospacing="1" w:after="0" w:afterAutospacing="1" w:line="580" w:lineRule="exact"/>
        <w:ind w:left="0" w:right="0" w:firstLine="600"/>
        <w:jc w:val="center"/>
        <w:rPr>
          <w:rFonts w:hint="default" w:ascii="Times New Roman" w:hAnsi="Times New Roman" w:eastAsia="仿宋_GB2312" w:cs="Times New Roman"/>
          <w:b/>
          <w:color w:val="auto"/>
          <w:kern w:val="0"/>
          <w:sz w:val="36"/>
          <w:szCs w:val="36"/>
          <w:lang w:val="en-US" w:eastAsia="zh-CN" w:bidi="ar"/>
        </w:rPr>
      </w:pPr>
    </w:p>
    <w:p>
      <w:pPr>
        <w:keepNext w:val="0"/>
        <w:keepLines w:val="0"/>
        <w:widowControl/>
        <w:suppressLineNumbers w:val="0"/>
        <w:adjustRightInd w:val="0"/>
        <w:snapToGrid w:val="0"/>
        <w:spacing w:before="0" w:beforeAutospacing="1" w:after="0" w:afterAutospacing="1" w:line="580" w:lineRule="exact"/>
        <w:ind w:left="0" w:right="0" w:firstLine="600"/>
        <w:jc w:val="center"/>
        <w:rPr>
          <w:rFonts w:hint="default" w:ascii="Times New Roman" w:hAnsi="Times New Roman" w:eastAsia="仿宋_GB2312" w:cs="Times New Roman"/>
          <w:b/>
          <w:color w:val="auto"/>
          <w:kern w:val="0"/>
          <w:sz w:val="36"/>
          <w:szCs w:val="36"/>
          <w:lang w:val="en-US" w:eastAsia="zh-CN" w:bidi="ar"/>
        </w:rPr>
      </w:pPr>
    </w:p>
    <w:p>
      <w:pPr>
        <w:keepNext w:val="0"/>
        <w:keepLines w:val="0"/>
        <w:widowControl/>
        <w:suppressLineNumbers w:val="0"/>
        <w:adjustRightInd w:val="0"/>
        <w:snapToGrid w:val="0"/>
        <w:spacing w:before="0" w:beforeAutospacing="1" w:after="0" w:afterAutospacing="1" w:line="580" w:lineRule="exact"/>
        <w:ind w:left="0" w:right="0" w:firstLine="600"/>
        <w:jc w:val="center"/>
        <w:rPr>
          <w:rFonts w:hint="default" w:ascii="Times New Roman" w:hAnsi="Times New Roman" w:eastAsia="仿宋_GB2312" w:cs="Times New Roman"/>
          <w:b/>
          <w:color w:val="auto"/>
          <w:kern w:val="0"/>
          <w:sz w:val="36"/>
          <w:szCs w:val="36"/>
          <w:lang w:val="en-US" w:eastAsia="zh-CN" w:bidi="ar"/>
        </w:rPr>
      </w:pPr>
    </w:p>
    <w:p>
      <w:pPr>
        <w:keepNext w:val="0"/>
        <w:keepLines w:val="0"/>
        <w:widowControl/>
        <w:suppressLineNumbers w:val="0"/>
        <w:adjustRightInd w:val="0"/>
        <w:snapToGrid w:val="0"/>
        <w:spacing w:before="0" w:beforeAutospacing="1" w:after="0" w:afterAutospacing="1" w:line="580" w:lineRule="exact"/>
        <w:ind w:left="0" w:right="0" w:firstLine="600"/>
        <w:jc w:val="center"/>
        <w:rPr>
          <w:rFonts w:hint="default" w:ascii="Times New Roman" w:hAnsi="Times New Roman" w:eastAsia="仿宋_GB2312" w:cs="Times New Roman"/>
          <w:b/>
          <w:color w:val="auto"/>
          <w:kern w:val="0"/>
          <w:sz w:val="36"/>
          <w:szCs w:val="36"/>
          <w:lang w:val="en-US" w:eastAsia="zh-CN" w:bidi="ar"/>
        </w:rPr>
      </w:pPr>
    </w:p>
    <w:p>
      <w:pPr>
        <w:keepNext w:val="0"/>
        <w:keepLines w:val="0"/>
        <w:widowControl/>
        <w:suppressLineNumbers w:val="0"/>
        <w:adjustRightInd w:val="0"/>
        <w:snapToGrid w:val="0"/>
        <w:spacing w:before="0" w:beforeAutospacing="1" w:after="0" w:afterAutospacing="1" w:line="580" w:lineRule="exact"/>
        <w:ind w:left="0" w:right="0" w:firstLine="600"/>
        <w:jc w:val="center"/>
        <w:rPr>
          <w:rFonts w:hint="default" w:ascii="Times New Roman" w:hAnsi="Times New Roman" w:eastAsia="仿宋_GB2312" w:cs="Times New Roman"/>
          <w:b/>
          <w:color w:val="auto"/>
          <w:kern w:val="0"/>
          <w:sz w:val="36"/>
          <w:szCs w:val="36"/>
        </w:rPr>
      </w:pPr>
      <w:r>
        <w:rPr>
          <w:rFonts w:hint="default" w:ascii="Times New Roman" w:hAnsi="Times New Roman" w:eastAsia="仿宋_GB2312" w:cs="Times New Roman"/>
          <w:b/>
          <w:color w:val="auto"/>
          <w:kern w:val="0"/>
          <w:sz w:val="36"/>
          <w:szCs w:val="36"/>
          <w:lang w:val="en-US" w:eastAsia="zh-CN" w:bidi="ar"/>
        </w:rPr>
        <w:t xml:space="preserve"> </w:t>
      </w:r>
    </w:p>
    <w:p>
      <w:pPr>
        <w:keepNext w:val="0"/>
        <w:keepLines w:val="0"/>
        <w:widowControl/>
        <w:suppressLineNumbers w:val="0"/>
        <w:adjustRightInd w:val="0"/>
        <w:snapToGrid w:val="0"/>
        <w:spacing w:before="0" w:beforeAutospacing="1" w:after="0" w:afterAutospacing="1"/>
        <w:ind w:left="0" w:right="0" w:firstLine="601"/>
        <w:jc w:val="center"/>
        <w:rPr>
          <w:rFonts w:hint="default" w:ascii="Times New Roman" w:hAnsi="Times New Roman" w:eastAsia="仿宋_GB2312" w:cs="Times New Roman"/>
          <w:b/>
          <w:color w:val="auto"/>
          <w:kern w:val="0"/>
          <w:sz w:val="44"/>
          <w:szCs w:val="44"/>
        </w:rPr>
      </w:pPr>
      <w:r>
        <w:rPr>
          <w:rFonts w:hint="default" w:ascii="仿宋_GB2312" w:hAnsi="Times New Roman" w:eastAsia="仿宋_GB2312" w:cs="仿宋_GB2312"/>
          <w:b/>
          <w:color w:val="auto"/>
          <w:kern w:val="0"/>
          <w:sz w:val="44"/>
          <w:szCs w:val="44"/>
          <w:lang w:val="en-US" w:eastAsia="zh-CN" w:bidi="ar"/>
        </w:rPr>
        <w:t>目录</w:t>
      </w:r>
    </w:p>
    <w:p>
      <w:pPr>
        <w:keepNext w:val="0"/>
        <w:keepLines w:val="0"/>
        <w:widowControl/>
        <w:suppressLineNumbers w:val="0"/>
        <w:adjustRightInd w:val="0"/>
        <w:snapToGrid w:val="0"/>
        <w:spacing w:before="0" w:beforeAutospacing="1" w:after="0" w:afterAutospacing="1"/>
        <w:ind w:left="0" w:right="0" w:firstLine="601"/>
        <w:jc w:val="left"/>
        <w:rPr>
          <w:rFonts w:hint="default" w:ascii="Times New Roman" w:hAnsi="Times New Roman" w:eastAsia="仿宋_GB2312" w:cs="Times New Roman"/>
          <w:b/>
          <w:color w:val="auto"/>
          <w:kern w:val="0"/>
          <w:sz w:val="44"/>
          <w:szCs w:val="44"/>
        </w:rPr>
      </w:pPr>
      <w:r>
        <w:rPr>
          <w:rFonts w:hint="default" w:ascii="Times New Roman" w:hAnsi="Times New Roman" w:eastAsia="仿宋_GB2312" w:cs="Times New Roman"/>
          <w:b/>
          <w:color w:val="auto"/>
          <w:kern w:val="0"/>
          <w:sz w:val="44"/>
          <w:szCs w:val="44"/>
          <w:lang w:val="en-US" w:eastAsia="zh-CN" w:bidi="ar"/>
        </w:rPr>
        <w:t xml:space="preserve"> </w:t>
      </w:r>
    </w:p>
    <w:p>
      <w:pPr>
        <w:keepNext w:val="0"/>
        <w:keepLines w:val="0"/>
        <w:widowControl/>
        <w:suppressLineNumbers w:val="0"/>
        <w:adjustRightInd w:val="0"/>
        <w:snapToGrid w:val="0"/>
        <w:spacing w:before="0" w:beforeAutospacing="1" w:after="0" w:afterAutospacing="1" w:line="580" w:lineRule="exact"/>
        <w:ind w:left="0" w:right="0" w:firstLine="601"/>
        <w:jc w:val="left"/>
        <w:rPr>
          <w:rFonts w:hint="default" w:ascii="Times New Roman" w:hAnsi="Times New Roman" w:eastAsia="黑体" w:cs="Times New Roman"/>
          <w:b/>
          <w:color w:val="auto"/>
          <w:kern w:val="0"/>
          <w:sz w:val="32"/>
          <w:szCs w:val="32"/>
        </w:rPr>
      </w:pPr>
      <w:r>
        <w:rPr>
          <w:rFonts w:hint="default" w:ascii="黑体" w:hAnsi="宋体" w:eastAsia="黑体" w:cs="黑体"/>
          <w:b/>
          <w:color w:val="auto"/>
          <w:kern w:val="0"/>
          <w:sz w:val="32"/>
          <w:szCs w:val="32"/>
          <w:lang w:val="en-US" w:eastAsia="zh-CN" w:bidi="ar"/>
        </w:rPr>
        <w:t>第一部分</w:t>
      </w:r>
      <w:r>
        <w:rPr>
          <w:rFonts w:hint="default" w:ascii="黑体" w:hAnsi="Times New Roman" w:eastAsia="黑体" w:cs="黑体"/>
          <w:b/>
          <w:color w:val="auto"/>
          <w:kern w:val="0"/>
          <w:sz w:val="32"/>
          <w:szCs w:val="32"/>
          <w:lang w:val="en-US" w:eastAsia="zh-CN" w:bidi="ar"/>
        </w:rPr>
        <w:t xml:space="preserve"> </w:t>
      </w:r>
      <w:r>
        <w:rPr>
          <w:rFonts w:hint="default" w:ascii="黑体" w:hAnsi="宋体" w:eastAsia="黑体" w:cs="黑体"/>
          <w:b/>
          <w:color w:val="auto"/>
          <w:kern w:val="0"/>
          <w:sz w:val="32"/>
          <w:szCs w:val="32"/>
          <w:lang w:val="en-US" w:eastAsia="zh-CN" w:bidi="ar"/>
        </w:rPr>
        <w:t>部门基本情况</w:t>
      </w:r>
    </w:p>
    <w:p>
      <w:pPr>
        <w:keepNext w:val="0"/>
        <w:keepLines w:val="0"/>
        <w:widowControl/>
        <w:suppressLineNumbers w:val="0"/>
        <w:adjustRightInd w:val="0"/>
        <w:snapToGrid w:val="0"/>
        <w:spacing w:before="0" w:beforeAutospacing="1" w:after="0" w:afterAutospacing="1" w:line="580" w:lineRule="exact"/>
        <w:ind w:left="0" w:right="0" w:firstLine="601"/>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一、部门职责</w:t>
      </w:r>
    </w:p>
    <w:p>
      <w:pPr>
        <w:keepNext w:val="0"/>
        <w:keepLines w:val="0"/>
        <w:widowControl/>
        <w:suppressLineNumbers w:val="0"/>
        <w:adjustRightInd w:val="0"/>
        <w:snapToGrid w:val="0"/>
        <w:spacing w:before="0" w:beforeAutospacing="1" w:after="0" w:afterAutospacing="1" w:line="580" w:lineRule="exact"/>
        <w:ind w:left="0" w:right="0" w:firstLine="601"/>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二、机构设置</w:t>
      </w:r>
    </w:p>
    <w:p>
      <w:pPr>
        <w:keepNext w:val="0"/>
        <w:keepLines w:val="0"/>
        <w:widowControl/>
        <w:suppressLineNumbers w:val="0"/>
        <w:adjustRightInd w:val="0"/>
        <w:snapToGrid w:val="0"/>
        <w:spacing w:before="0" w:beforeAutospacing="1" w:after="0" w:afterAutospacing="1" w:line="580" w:lineRule="exact"/>
        <w:ind w:left="0" w:right="0" w:firstLine="601"/>
        <w:jc w:val="left"/>
        <w:rPr>
          <w:rFonts w:hint="default" w:ascii="Times New Roman" w:hAnsi="Times New Roman" w:eastAsia="黑体" w:cs="Times New Roman"/>
          <w:b/>
          <w:color w:val="auto"/>
          <w:kern w:val="0"/>
          <w:sz w:val="32"/>
          <w:szCs w:val="32"/>
        </w:rPr>
      </w:pPr>
      <w:r>
        <w:rPr>
          <w:rFonts w:hint="default" w:ascii="黑体" w:hAnsi="宋体" w:eastAsia="黑体" w:cs="黑体"/>
          <w:b/>
          <w:color w:val="auto"/>
          <w:kern w:val="0"/>
          <w:sz w:val="32"/>
          <w:szCs w:val="32"/>
          <w:lang w:val="en-US" w:eastAsia="zh-CN" w:bidi="ar"/>
        </w:rPr>
        <w:t>第二部分</w:t>
      </w:r>
      <w:r>
        <w:rPr>
          <w:rFonts w:hint="default" w:ascii="黑体" w:hAnsi="Times New Roman" w:eastAsia="黑体" w:cs="黑体"/>
          <w:b/>
          <w:color w:val="auto"/>
          <w:kern w:val="0"/>
          <w:sz w:val="32"/>
          <w:szCs w:val="32"/>
          <w:lang w:val="en-US" w:eastAsia="zh-CN" w:bidi="ar"/>
        </w:rPr>
        <w:t xml:space="preserve"> 2019</w:t>
      </w:r>
      <w:r>
        <w:rPr>
          <w:rFonts w:hint="default" w:ascii="黑体" w:hAnsi="宋体" w:eastAsia="黑体" w:cs="黑体"/>
          <w:b/>
          <w:color w:val="auto"/>
          <w:kern w:val="0"/>
          <w:sz w:val="32"/>
          <w:szCs w:val="32"/>
          <w:lang w:val="en-US" w:eastAsia="zh-CN" w:bidi="ar"/>
        </w:rPr>
        <w:t>年度部门决算情况说明</w:t>
      </w:r>
    </w:p>
    <w:p>
      <w:pPr>
        <w:keepNext w:val="0"/>
        <w:keepLines w:val="0"/>
        <w:widowControl/>
        <w:suppressLineNumbers w:val="0"/>
        <w:adjustRightInd w:val="0"/>
        <w:snapToGrid w:val="0"/>
        <w:spacing w:before="0" w:beforeAutospacing="1" w:after="0" w:afterAutospacing="1" w:line="580" w:lineRule="exact"/>
        <w:ind w:left="0" w:right="0" w:firstLine="601"/>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一、关于2019年度预算执行情况分析</w:t>
      </w:r>
    </w:p>
    <w:p>
      <w:pPr>
        <w:keepNext w:val="0"/>
        <w:keepLines w:val="0"/>
        <w:widowControl/>
        <w:suppressLineNumbers w:val="0"/>
        <w:adjustRightInd w:val="0"/>
        <w:snapToGrid w:val="0"/>
        <w:spacing w:before="0" w:beforeAutospacing="1" w:after="0" w:afterAutospacing="1" w:line="580" w:lineRule="exact"/>
        <w:ind w:left="0" w:right="0" w:firstLine="601"/>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二、关于2019年度决算情况说明</w:t>
      </w:r>
    </w:p>
    <w:p>
      <w:pPr>
        <w:keepNext w:val="0"/>
        <w:keepLines w:val="0"/>
        <w:widowControl/>
        <w:suppressLineNumbers w:val="0"/>
        <w:adjustRightInd w:val="0"/>
        <w:snapToGrid w:val="0"/>
        <w:spacing w:before="0" w:beforeAutospacing="1" w:after="0" w:afterAutospacing="1" w:line="580" w:lineRule="exact"/>
        <w:ind w:left="0" w:right="0" w:firstLine="601"/>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（一）关于收支情况总体说明</w:t>
      </w:r>
    </w:p>
    <w:p>
      <w:pPr>
        <w:keepNext w:val="0"/>
        <w:keepLines w:val="0"/>
        <w:widowControl/>
        <w:suppressLineNumbers w:val="0"/>
        <w:adjustRightInd w:val="0"/>
        <w:snapToGrid w:val="0"/>
        <w:spacing w:before="0" w:beforeAutospacing="1" w:after="0" w:afterAutospacing="1" w:line="580" w:lineRule="exact"/>
        <w:ind w:left="0" w:right="0" w:firstLine="601"/>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（二）关于2019年度收入决算情况说明</w:t>
      </w:r>
    </w:p>
    <w:p>
      <w:pPr>
        <w:keepNext w:val="0"/>
        <w:keepLines w:val="0"/>
        <w:widowControl/>
        <w:suppressLineNumbers w:val="0"/>
        <w:adjustRightInd w:val="0"/>
        <w:snapToGrid w:val="0"/>
        <w:spacing w:before="0" w:beforeAutospacing="1" w:after="0" w:afterAutospacing="1" w:line="580" w:lineRule="exact"/>
        <w:ind w:left="0" w:right="0" w:firstLine="601"/>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（三）关于2019年度支出决算情况说明</w:t>
      </w:r>
    </w:p>
    <w:p>
      <w:pPr>
        <w:keepNext w:val="0"/>
        <w:keepLines w:val="0"/>
        <w:widowControl/>
        <w:suppressLineNumbers w:val="0"/>
        <w:adjustRightInd w:val="0"/>
        <w:snapToGrid w:val="0"/>
        <w:spacing w:before="0" w:beforeAutospacing="1" w:after="0" w:afterAutospacing="1" w:line="580" w:lineRule="exact"/>
        <w:ind w:left="0" w:right="0" w:firstLine="601"/>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（四）关于2019年度财政拨款收入支出决算总体情况说明</w:t>
      </w:r>
    </w:p>
    <w:p>
      <w:pPr>
        <w:keepNext w:val="0"/>
        <w:keepLines w:val="0"/>
        <w:widowControl/>
        <w:suppressLineNumbers w:val="0"/>
        <w:adjustRightInd w:val="0"/>
        <w:snapToGrid w:val="0"/>
        <w:spacing w:before="0" w:beforeAutospacing="1" w:after="0" w:afterAutospacing="1" w:line="580" w:lineRule="exact"/>
        <w:ind w:left="0" w:right="0" w:firstLine="601"/>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（五）关于2019年度一般公共预算财政拨款支出决算情况说明</w:t>
      </w:r>
    </w:p>
    <w:p>
      <w:pPr>
        <w:keepNext w:val="0"/>
        <w:keepLines w:val="0"/>
        <w:widowControl/>
        <w:suppressLineNumbers w:val="0"/>
        <w:adjustRightInd w:val="0"/>
        <w:snapToGrid w:val="0"/>
        <w:spacing w:before="0" w:beforeAutospacing="1" w:after="0" w:afterAutospacing="1" w:line="580" w:lineRule="exact"/>
        <w:ind w:left="0" w:right="0" w:firstLine="601"/>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（六）关于2019年度一般公共预算财政拨款基本支出决算情况说明</w:t>
      </w:r>
    </w:p>
    <w:p>
      <w:pPr>
        <w:keepNext w:val="0"/>
        <w:keepLines w:val="0"/>
        <w:widowControl/>
        <w:suppressLineNumbers w:val="0"/>
        <w:adjustRightInd w:val="0"/>
        <w:snapToGrid w:val="0"/>
        <w:spacing w:before="0" w:beforeAutospacing="1" w:after="0" w:afterAutospacing="1" w:line="580" w:lineRule="exact"/>
        <w:ind w:left="0" w:right="0" w:firstLine="601"/>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（七）关于2019年度财政拨款</w:t>
      </w:r>
      <w:r>
        <w:rPr>
          <w:rFonts w:hint="default" w:ascii="Times New Roman" w:hAnsi="Times New Roman" w:eastAsia="仿宋_GB2312" w:cs="Times New Roman"/>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三公</w:t>
      </w:r>
      <w:r>
        <w:rPr>
          <w:rFonts w:hint="default" w:ascii="Times New Roman" w:hAnsi="Times New Roman" w:eastAsia="仿宋_GB2312" w:cs="Times New Roman"/>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经费支出决算情况说明</w:t>
      </w:r>
    </w:p>
    <w:p>
      <w:pPr>
        <w:keepNext w:val="0"/>
        <w:keepLines w:val="0"/>
        <w:widowControl/>
        <w:suppressLineNumbers w:val="0"/>
        <w:adjustRightInd w:val="0"/>
        <w:snapToGrid w:val="0"/>
        <w:spacing w:before="0" w:beforeAutospacing="1" w:after="0" w:afterAutospacing="1" w:line="580" w:lineRule="exact"/>
        <w:ind w:left="0" w:right="0" w:firstLine="601"/>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1、财政拨款</w:t>
      </w:r>
      <w:r>
        <w:rPr>
          <w:rFonts w:hint="default" w:ascii="Times New Roman" w:hAnsi="Times New Roman" w:eastAsia="仿宋_GB2312" w:cs="Times New Roman"/>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三公</w:t>
      </w:r>
      <w:r>
        <w:rPr>
          <w:rFonts w:hint="default" w:ascii="Times New Roman" w:hAnsi="Times New Roman" w:eastAsia="仿宋_GB2312" w:cs="Times New Roman"/>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经费支出决算总体情况说明</w:t>
      </w:r>
    </w:p>
    <w:p>
      <w:pPr>
        <w:keepNext w:val="0"/>
        <w:keepLines w:val="0"/>
        <w:widowControl/>
        <w:suppressLineNumbers w:val="0"/>
        <w:adjustRightInd w:val="0"/>
        <w:snapToGrid w:val="0"/>
        <w:spacing w:before="0" w:beforeAutospacing="1" w:after="0" w:afterAutospacing="1" w:line="580" w:lineRule="exact"/>
        <w:ind w:left="0" w:right="0" w:firstLine="601"/>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2、财政拨款</w:t>
      </w:r>
      <w:r>
        <w:rPr>
          <w:rFonts w:hint="default" w:ascii="Times New Roman" w:hAnsi="Times New Roman" w:eastAsia="仿宋_GB2312" w:cs="Times New Roman"/>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三公</w:t>
      </w:r>
      <w:r>
        <w:rPr>
          <w:rFonts w:hint="default" w:ascii="Times New Roman" w:hAnsi="Times New Roman" w:eastAsia="仿宋_GB2312" w:cs="Times New Roman"/>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经费支出决算具体情况说明</w:t>
      </w:r>
    </w:p>
    <w:p>
      <w:pPr>
        <w:keepNext w:val="0"/>
        <w:keepLines w:val="0"/>
        <w:widowControl/>
        <w:suppressLineNumbers w:val="0"/>
        <w:adjustRightInd w:val="0"/>
        <w:snapToGrid w:val="0"/>
        <w:spacing w:before="0" w:beforeAutospacing="1" w:after="0" w:afterAutospacing="1" w:line="580" w:lineRule="exact"/>
        <w:ind w:left="0" w:right="0" w:firstLine="601"/>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三、预算绩效情况说明</w:t>
      </w:r>
    </w:p>
    <w:p>
      <w:pPr>
        <w:keepNext w:val="0"/>
        <w:keepLines w:val="0"/>
        <w:widowControl/>
        <w:suppressLineNumbers w:val="0"/>
        <w:adjustRightInd w:val="0"/>
        <w:snapToGrid w:val="0"/>
        <w:spacing w:before="0" w:beforeAutospacing="1" w:after="0" w:afterAutospacing="1" w:line="580" w:lineRule="exact"/>
        <w:ind w:left="0" w:right="0" w:firstLine="600"/>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（一）预算绩效管理工作开展情况</w:t>
      </w:r>
    </w:p>
    <w:p>
      <w:pPr>
        <w:keepNext w:val="0"/>
        <w:keepLines w:val="0"/>
        <w:widowControl/>
        <w:suppressLineNumbers w:val="0"/>
        <w:adjustRightInd w:val="0"/>
        <w:snapToGrid w:val="0"/>
        <w:spacing w:before="0" w:beforeAutospacing="1" w:after="0" w:afterAutospacing="1" w:line="580" w:lineRule="exact"/>
        <w:ind w:left="0" w:right="0" w:firstLine="600"/>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（二）部门决算中项目绩效自评结果</w:t>
      </w:r>
    </w:p>
    <w:p>
      <w:pPr>
        <w:keepNext w:val="0"/>
        <w:keepLines w:val="0"/>
        <w:widowControl/>
        <w:suppressLineNumbers w:val="0"/>
        <w:adjustRightInd w:val="0"/>
        <w:snapToGrid w:val="0"/>
        <w:spacing w:before="0" w:beforeAutospacing="1" w:after="0" w:afterAutospacing="1" w:line="580" w:lineRule="exact"/>
        <w:ind w:left="0" w:right="0" w:firstLine="601"/>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四、其他重要事项的情况说明</w:t>
      </w:r>
    </w:p>
    <w:p>
      <w:pPr>
        <w:keepNext w:val="0"/>
        <w:keepLines w:val="0"/>
        <w:widowControl/>
        <w:suppressLineNumbers w:val="0"/>
        <w:adjustRightInd w:val="0"/>
        <w:snapToGrid w:val="0"/>
        <w:spacing w:before="0" w:beforeAutospacing="1" w:after="0" w:afterAutospacing="1" w:line="580" w:lineRule="exact"/>
        <w:ind w:left="0" w:right="0" w:firstLine="601"/>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（一）机关运行经费支出情况</w:t>
      </w:r>
    </w:p>
    <w:p>
      <w:pPr>
        <w:keepNext w:val="0"/>
        <w:keepLines w:val="0"/>
        <w:widowControl/>
        <w:suppressLineNumbers w:val="0"/>
        <w:adjustRightInd w:val="0"/>
        <w:snapToGrid w:val="0"/>
        <w:spacing w:before="0" w:beforeAutospacing="1" w:after="0" w:afterAutospacing="1" w:line="580" w:lineRule="exact"/>
        <w:ind w:left="0" w:right="0" w:firstLine="601"/>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（二）政府采购支出情况</w:t>
      </w:r>
    </w:p>
    <w:p>
      <w:pPr>
        <w:keepNext w:val="0"/>
        <w:keepLines w:val="0"/>
        <w:widowControl/>
        <w:suppressLineNumbers w:val="0"/>
        <w:adjustRightInd w:val="0"/>
        <w:snapToGrid w:val="0"/>
        <w:spacing w:before="0" w:beforeAutospacing="1" w:after="0" w:afterAutospacing="1" w:line="580" w:lineRule="exact"/>
        <w:ind w:left="0" w:right="0" w:firstLine="601"/>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（三）国有资产占用情况</w:t>
      </w:r>
    </w:p>
    <w:p>
      <w:pPr>
        <w:keepNext w:val="0"/>
        <w:keepLines w:val="0"/>
        <w:widowControl/>
        <w:suppressLineNumbers w:val="0"/>
        <w:adjustRightInd w:val="0"/>
        <w:snapToGrid w:val="0"/>
        <w:spacing w:before="0" w:beforeAutospacing="1" w:after="0" w:afterAutospacing="1" w:line="580" w:lineRule="exact"/>
        <w:ind w:left="0" w:right="0" w:firstLine="601"/>
        <w:jc w:val="left"/>
        <w:rPr>
          <w:rFonts w:hint="default" w:ascii="Times New Roman" w:hAnsi="Times New Roman" w:eastAsia="仿宋_GB2312" w:cs="Times New Roman"/>
          <w:color w:val="auto"/>
          <w:kern w:val="0"/>
          <w:sz w:val="32"/>
          <w:szCs w:val="32"/>
        </w:rPr>
      </w:pPr>
      <w:r>
        <w:rPr>
          <w:rFonts w:hint="default" w:ascii="Times New Roman" w:hAnsi="Times New Roman" w:eastAsia="仿宋_GB2312" w:cs="Times New Roman"/>
          <w:color w:val="auto"/>
          <w:kern w:val="0"/>
          <w:sz w:val="32"/>
          <w:szCs w:val="32"/>
          <w:lang w:val="en-US" w:eastAsia="zh-CN" w:bidi="ar"/>
        </w:rPr>
        <w:t xml:space="preserve"> </w:t>
      </w:r>
    </w:p>
    <w:p>
      <w:pPr>
        <w:keepNext w:val="0"/>
        <w:keepLines w:val="0"/>
        <w:widowControl/>
        <w:suppressLineNumbers w:val="0"/>
        <w:adjustRightInd w:val="0"/>
        <w:snapToGrid w:val="0"/>
        <w:spacing w:before="0" w:beforeAutospacing="1" w:after="0" w:afterAutospacing="1" w:line="580" w:lineRule="exact"/>
        <w:ind w:left="0" w:right="0" w:firstLine="601"/>
        <w:jc w:val="left"/>
        <w:rPr>
          <w:rFonts w:hint="default" w:ascii="Times New Roman" w:hAnsi="Times New Roman" w:eastAsia="黑体" w:cs="Times New Roman"/>
          <w:b/>
          <w:color w:val="auto"/>
          <w:kern w:val="0"/>
          <w:sz w:val="32"/>
          <w:szCs w:val="32"/>
        </w:rPr>
      </w:pPr>
      <w:r>
        <w:rPr>
          <w:rFonts w:hint="default" w:ascii="黑体" w:hAnsi="宋体" w:eastAsia="黑体" w:cs="黑体"/>
          <w:b/>
          <w:color w:val="auto"/>
          <w:kern w:val="0"/>
          <w:sz w:val="32"/>
          <w:szCs w:val="32"/>
          <w:lang w:val="en-US" w:eastAsia="zh-CN" w:bidi="ar"/>
        </w:rPr>
        <w:t>第三部分</w:t>
      </w:r>
      <w:r>
        <w:rPr>
          <w:rFonts w:hint="default" w:ascii="黑体" w:hAnsi="Times New Roman" w:eastAsia="黑体" w:cs="黑体"/>
          <w:b/>
          <w:color w:val="auto"/>
          <w:kern w:val="0"/>
          <w:sz w:val="32"/>
          <w:szCs w:val="32"/>
          <w:lang w:val="en-US" w:eastAsia="zh-CN" w:bidi="ar"/>
        </w:rPr>
        <w:t xml:space="preserve"> </w:t>
      </w:r>
      <w:r>
        <w:rPr>
          <w:rFonts w:hint="default" w:ascii="黑体" w:hAnsi="宋体" w:eastAsia="黑体" w:cs="黑体"/>
          <w:b/>
          <w:color w:val="auto"/>
          <w:kern w:val="0"/>
          <w:sz w:val="32"/>
          <w:szCs w:val="32"/>
          <w:lang w:val="en-US" w:eastAsia="zh-CN" w:bidi="ar"/>
        </w:rPr>
        <w:t>名词解释</w:t>
      </w:r>
    </w:p>
    <w:p>
      <w:pPr>
        <w:keepNext w:val="0"/>
        <w:keepLines w:val="0"/>
        <w:widowControl/>
        <w:suppressLineNumbers w:val="0"/>
        <w:adjustRightInd w:val="0"/>
        <w:snapToGrid w:val="0"/>
        <w:spacing w:before="0" w:beforeAutospacing="1" w:after="0" w:afterAutospacing="1" w:line="580" w:lineRule="exact"/>
        <w:ind w:left="0" w:right="0" w:firstLine="601"/>
        <w:jc w:val="left"/>
        <w:rPr>
          <w:rFonts w:hint="default" w:ascii="Times New Roman" w:hAnsi="Times New Roman" w:eastAsia="黑体" w:cs="Times New Roman"/>
          <w:b/>
          <w:color w:val="auto"/>
          <w:kern w:val="0"/>
          <w:sz w:val="32"/>
          <w:szCs w:val="32"/>
        </w:rPr>
      </w:pPr>
      <w:r>
        <w:rPr>
          <w:rFonts w:hint="default" w:ascii="黑体" w:hAnsi="宋体" w:eastAsia="黑体" w:cs="黑体"/>
          <w:b/>
          <w:color w:val="auto"/>
          <w:kern w:val="0"/>
          <w:sz w:val="32"/>
          <w:szCs w:val="32"/>
          <w:lang w:val="en-US" w:eastAsia="zh-CN" w:bidi="ar"/>
        </w:rPr>
        <w:t>第四部分</w:t>
      </w:r>
      <w:r>
        <w:rPr>
          <w:rFonts w:hint="default" w:ascii="黑体" w:hAnsi="Times New Roman" w:eastAsia="黑体" w:cs="黑体"/>
          <w:b/>
          <w:color w:val="auto"/>
          <w:kern w:val="0"/>
          <w:sz w:val="32"/>
          <w:szCs w:val="32"/>
          <w:lang w:val="en-US" w:eastAsia="zh-CN" w:bidi="ar"/>
        </w:rPr>
        <w:t xml:space="preserve"> </w:t>
      </w:r>
      <w:r>
        <w:rPr>
          <w:rFonts w:hint="default" w:ascii="黑体" w:hAnsi="宋体" w:eastAsia="黑体" w:cs="黑体"/>
          <w:b/>
          <w:color w:val="auto"/>
          <w:kern w:val="0"/>
          <w:sz w:val="32"/>
          <w:szCs w:val="32"/>
          <w:lang w:val="en-US" w:eastAsia="zh-CN" w:bidi="ar"/>
        </w:rPr>
        <w:t>决算公开联系方式及信息反馈渠道</w:t>
      </w:r>
    </w:p>
    <w:p>
      <w:pPr>
        <w:keepNext w:val="0"/>
        <w:keepLines w:val="0"/>
        <w:widowControl/>
        <w:suppressLineNumbers w:val="0"/>
        <w:adjustRightInd w:val="0"/>
        <w:snapToGrid w:val="0"/>
        <w:spacing w:before="0" w:beforeAutospacing="1" w:after="0" w:afterAutospacing="1" w:line="580" w:lineRule="exact"/>
        <w:ind w:left="0" w:right="0" w:firstLine="601"/>
        <w:jc w:val="left"/>
        <w:rPr>
          <w:rFonts w:hint="default" w:ascii="Times New Roman" w:hAnsi="Times New Roman" w:eastAsia="黑体" w:cs="Times New Roman"/>
          <w:b/>
          <w:color w:val="auto"/>
          <w:kern w:val="0"/>
          <w:sz w:val="32"/>
          <w:szCs w:val="32"/>
        </w:rPr>
      </w:pPr>
      <w:r>
        <w:rPr>
          <w:rFonts w:hint="default" w:ascii="黑体" w:hAnsi="宋体" w:eastAsia="黑体" w:cs="黑体"/>
          <w:b/>
          <w:color w:val="auto"/>
          <w:kern w:val="0"/>
          <w:sz w:val="32"/>
          <w:szCs w:val="32"/>
          <w:lang w:val="en-US" w:eastAsia="zh-CN" w:bidi="ar"/>
        </w:rPr>
        <w:t>第五部分</w:t>
      </w:r>
      <w:r>
        <w:rPr>
          <w:rFonts w:hint="default" w:ascii="黑体" w:hAnsi="Times New Roman" w:eastAsia="黑体" w:cs="黑体"/>
          <w:b/>
          <w:color w:val="auto"/>
          <w:kern w:val="0"/>
          <w:sz w:val="32"/>
          <w:szCs w:val="32"/>
          <w:lang w:val="en-US" w:eastAsia="zh-CN" w:bidi="ar"/>
        </w:rPr>
        <w:t xml:space="preserve"> </w:t>
      </w:r>
      <w:r>
        <w:rPr>
          <w:rFonts w:hint="default" w:ascii="黑体" w:hAnsi="宋体" w:eastAsia="黑体" w:cs="黑体"/>
          <w:b/>
          <w:color w:val="auto"/>
          <w:kern w:val="0"/>
          <w:sz w:val="32"/>
          <w:szCs w:val="32"/>
          <w:lang w:val="en-US" w:eastAsia="zh-CN" w:bidi="ar"/>
        </w:rPr>
        <w:t>部门决算公开表</w:t>
      </w:r>
    </w:p>
    <w:p>
      <w:pPr>
        <w:keepNext w:val="0"/>
        <w:keepLines w:val="0"/>
        <w:widowControl/>
        <w:suppressLineNumbers w:val="0"/>
        <w:adjustRightInd w:val="0"/>
        <w:snapToGrid w:val="0"/>
        <w:spacing w:before="0" w:beforeAutospacing="1" w:after="0" w:afterAutospacing="1" w:line="580" w:lineRule="exact"/>
        <w:ind w:left="0" w:right="0" w:firstLine="601"/>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一、收入支出决算总表</w:t>
      </w:r>
    </w:p>
    <w:p>
      <w:pPr>
        <w:keepNext w:val="0"/>
        <w:keepLines w:val="0"/>
        <w:widowControl/>
        <w:suppressLineNumbers w:val="0"/>
        <w:adjustRightInd w:val="0"/>
        <w:snapToGrid w:val="0"/>
        <w:spacing w:before="0" w:beforeAutospacing="1" w:after="0" w:afterAutospacing="1" w:line="580" w:lineRule="exact"/>
        <w:ind w:left="0" w:right="0" w:firstLine="601"/>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二、收入决算表</w:t>
      </w:r>
    </w:p>
    <w:p>
      <w:pPr>
        <w:keepNext w:val="0"/>
        <w:keepLines w:val="0"/>
        <w:widowControl/>
        <w:suppressLineNumbers w:val="0"/>
        <w:adjustRightInd w:val="0"/>
        <w:snapToGrid w:val="0"/>
        <w:spacing w:before="0" w:beforeAutospacing="1" w:after="0" w:afterAutospacing="1" w:line="580" w:lineRule="exact"/>
        <w:ind w:left="0" w:right="0" w:firstLine="601"/>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三、支出决算表</w:t>
      </w:r>
    </w:p>
    <w:p>
      <w:pPr>
        <w:keepNext w:val="0"/>
        <w:keepLines w:val="0"/>
        <w:widowControl/>
        <w:suppressLineNumbers w:val="0"/>
        <w:adjustRightInd w:val="0"/>
        <w:snapToGrid w:val="0"/>
        <w:spacing w:before="0" w:beforeAutospacing="1" w:after="0" w:afterAutospacing="1" w:line="580" w:lineRule="exact"/>
        <w:ind w:left="0" w:right="0" w:firstLine="601"/>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四、财政拨款收入支出决算总表</w:t>
      </w:r>
    </w:p>
    <w:p>
      <w:pPr>
        <w:keepNext w:val="0"/>
        <w:keepLines w:val="0"/>
        <w:widowControl/>
        <w:suppressLineNumbers w:val="0"/>
        <w:adjustRightInd w:val="0"/>
        <w:snapToGrid w:val="0"/>
        <w:spacing w:before="0" w:beforeAutospacing="1" w:after="0" w:afterAutospacing="1" w:line="580" w:lineRule="exact"/>
        <w:ind w:left="0" w:right="0" w:firstLine="601"/>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五、一般公共预算财政拨款支出决算表</w:t>
      </w:r>
    </w:p>
    <w:p>
      <w:pPr>
        <w:keepNext w:val="0"/>
        <w:keepLines w:val="0"/>
        <w:widowControl/>
        <w:suppressLineNumbers w:val="0"/>
        <w:adjustRightInd w:val="0"/>
        <w:snapToGrid w:val="0"/>
        <w:spacing w:before="0" w:beforeAutospacing="1" w:after="0" w:afterAutospacing="1" w:line="580" w:lineRule="exact"/>
        <w:ind w:left="0" w:right="0" w:firstLine="601"/>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六、一般公共预算财政拨款基本支出决算明细表</w:t>
      </w:r>
    </w:p>
    <w:p>
      <w:pPr>
        <w:keepNext w:val="0"/>
        <w:keepLines w:val="0"/>
        <w:widowControl/>
        <w:suppressLineNumbers w:val="0"/>
        <w:adjustRightInd w:val="0"/>
        <w:snapToGrid w:val="0"/>
        <w:spacing w:before="0" w:beforeAutospacing="1" w:after="0" w:afterAutospacing="1" w:line="580" w:lineRule="exact"/>
        <w:ind w:left="0" w:right="0" w:firstLine="601"/>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七、政府性基金预算财政拨款收入支出决算表</w:t>
      </w:r>
    </w:p>
    <w:p>
      <w:pPr>
        <w:keepNext w:val="0"/>
        <w:keepLines w:val="0"/>
        <w:widowControl/>
        <w:suppressLineNumbers w:val="0"/>
        <w:adjustRightInd w:val="0"/>
        <w:snapToGrid w:val="0"/>
        <w:spacing w:before="0" w:beforeAutospacing="1" w:after="0" w:afterAutospacing="1" w:line="580" w:lineRule="exact"/>
        <w:ind w:left="0" w:right="0" w:firstLine="601"/>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八、机构运行信息表</w:t>
      </w:r>
    </w:p>
    <w:p>
      <w:pPr>
        <w:keepNext w:val="0"/>
        <w:keepLines w:val="0"/>
        <w:widowControl/>
        <w:suppressLineNumbers w:val="0"/>
        <w:adjustRightInd w:val="0"/>
        <w:snapToGrid w:val="0"/>
        <w:spacing w:before="0" w:beforeAutospacing="1" w:after="0" w:afterAutospacing="1"/>
        <w:ind w:left="0" w:right="0" w:firstLine="601"/>
        <w:jc w:val="left"/>
        <w:rPr>
          <w:rFonts w:hint="default" w:ascii="Times New Roman" w:hAnsi="Times New Roman" w:eastAsia="仿宋_GB2312" w:cs="Times New Roman"/>
          <w:b/>
          <w:color w:val="auto"/>
          <w:kern w:val="0"/>
          <w:sz w:val="44"/>
          <w:szCs w:val="44"/>
        </w:rPr>
      </w:pPr>
      <w:r>
        <w:rPr>
          <w:rFonts w:hint="default" w:ascii="Times New Roman" w:hAnsi="Times New Roman" w:eastAsia="仿宋_GB2312" w:cs="Times New Roman"/>
          <w:b/>
          <w:color w:val="auto"/>
          <w:kern w:val="0"/>
          <w:sz w:val="44"/>
          <w:szCs w:val="44"/>
          <w:lang w:val="en-US" w:eastAsia="zh-CN" w:bidi="ar"/>
        </w:rPr>
        <w:t xml:space="preserve"> </w:t>
      </w:r>
    </w:p>
    <w:p>
      <w:pPr>
        <w:keepNext w:val="0"/>
        <w:keepLines w:val="0"/>
        <w:widowControl/>
        <w:suppressLineNumbers w:val="0"/>
        <w:snapToGrid w:val="0"/>
        <w:spacing w:before="0" w:beforeAutospacing="0" w:after="0" w:afterAutospacing="0"/>
        <w:ind w:left="0" w:right="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bidi="ar"/>
        </w:rPr>
        <w:t xml:space="preserve">  </w:t>
      </w:r>
    </w:p>
    <w:p>
      <w:pPr>
        <w:keepNext w:val="0"/>
        <w:keepLines w:val="0"/>
        <w:widowControl/>
        <w:suppressLineNumbers w:val="0"/>
        <w:adjustRightInd w:val="0"/>
        <w:snapToGrid w:val="0"/>
        <w:spacing w:before="0" w:beforeAutospacing="1" w:after="0" w:afterAutospacing="1" w:line="580" w:lineRule="exact"/>
        <w:ind w:left="0" w:right="0" w:firstLine="600"/>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b/>
          <w:color w:val="auto"/>
          <w:kern w:val="0"/>
          <w:sz w:val="32"/>
          <w:szCs w:val="32"/>
          <w:lang w:val="en-US" w:eastAsia="zh-CN" w:bidi="ar"/>
        </w:rPr>
        <w:t>第一部分 部门基本情况</w:t>
      </w:r>
    </w:p>
    <w:p>
      <w:pPr>
        <w:keepNext w:val="0"/>
        <w:keepLines w:val="0"/>
        <w:widowControl/>
        <w:suppressLineNumbers w:val="0"/>
        <w:adjustRightInd w:val="0"/>
        <w:snapToGrid w:val="0"/>
        <w:spacing w:before="0" w:beforeAutospacing="1" w:after="0" w:afterAutospacing="1" w:line="580" w:lineRule="exact"/>
        <w:ind w:left="0" w:right="0" w:firstLine="600"/>
        <w:jc w:val="left"/>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bidi="ar"/>
        </w:rPr>
        <w:t>一、部门职责</w:t>
      </w:r>
    </w:p>
    <w:p>
      <w:pPr>
        <w:spacing w:line="560" w:lineRule="exact"/>
        <w:ind w:firstLine="640" w:firstLineChars="200"/>
        <w:rPr>
          <w:rFonts w:hint="eastAsia" w:ascii="仿宋_GB2312" w:hAnsi="仿宋_GB2312" w:eastAsia="仿宋_GB2312" w:cs="仿宋_GB2312"/>
          <w:color w:val="auto"/>
          <w:sz w:val="32"/>
        </w:rPr>
      </w:pPr>
      <w:r>
        <w:rPr>
          <w:rFonts w:hint="eastAsia" w:ascii="仿宋_GB2312" w:hAnsi="仿宋_GB2312" w:eastAsia="仿宋_GB2312" w:cs="仿宋_GB2312"/>
          <w:color w:val="auto"/>
          <w:sz w:val="32"/>
        </w:rPr>
        <w:t>呼伦贝尔市自然资源局（简称市自然资源局）是市人民政府工作部门，为正处级。</w:t>
      </w:r>
    </w:p>
    <w:p>
      <w:pPr>
        <w:spacing w:line="560" w:lineRule="exact"/>
        <w:ind w:firstLine="640" w:firstLineChars="200"/>
        <w:rPr>
          <w:rFonts w:hint="eastAsia" w:ascii="仿宋_GB2312" w:hAnsi="仿宋_GB2312" w:eastAsia="仿宋_GB2312" w:cs="仿宋_GB2312"/>
          <w:color w:val="auto"/>
          <w:sz w:val="32"/>
        </w:rPr>
      </w:pPr>
      <w:r>
        <w:rPr>
          <w:rFonts w:hint="eastAsia" w:ascii="仿宋_GB2312" w:hAnsi="仿宋_GB2312" w:eastAsia="仿宋_GB2312" w:cs="仿宋_GB2312"/>
          <w:color w:val="auto"/>
          <w:sz w:val="32"/>
        </w:rPr>
        <w:t>市自然资源局贯彻党中央关于自然资源工作的方针政策，落实自治区党委、市委相关决策部署，在履行职责过程中坚持和加强党对自然资源工作的集中统一领导。市自然资源局的主要职责是：</w:t>
      </w:r>
    </w:p>
    <w:p>
      <w:pPr>
        <w:spacing w:line="560"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bCs/>
          <w:color w:val="auto"/>
          <w:sz w:val="32"/>
          <w:szCs w:val="32"/>
        </w:rPr>
        <w:t>（一）贯彻执行国家、自治区关于自然资源工作的法律法规及有关政策。</w:t>
      </w:r>
      <w:r>
        <w:rPr>
          <w:rFonts w:hint="eastAsia" w:ascii="仿宋_GB2312" w:hAnsi="仿宋_GB2312" w:eastAsia="仿宋_GB2312" w:cs="仿宋_GB2312"/>
          <w:color w:val="auto"/>
          <w:sz w:val="32"/>
          <w:szCs w:val="32"/>
        </w:rPr>
        <w:t>履行全民所有土地、矿产、森林、草原、湿地、水等自然资源资产所有者职责和所有国土空间用途管制职责，拟定相关管理办法并贯彻实施。指导旗（市、区）开展相关工作。</w:t>
      </w:r>
    </w:p>
    <w:p>
      <w:pPr>
        <w:spacing w:line="560" w:lineRule="exact"/>
        <w:ind w:firstLine="645"/>
        <w:rPr>
          <w:rFonts w:hint="eastAsia" w:ascii="仿宋_GB2312" w:hAnsi="仿宋_GB2312" w:eastAsia="仿宋_GB2312" w:cs="仿宋_GB2312"/>
          <w:color w:val="auto"/>
          <w:sz w:val="32"/>
          <w:szCs w:val="32"/>
        </w:rPr>
      </w:pPr>
      <w:r>
        <w:rPr>
          <w:rFonts w:hint="eastAsia" w:ascii="仿宋_GB2312" w:hAnsi="仿宋_GB2312" w:eastAsia="仿宋_GB2312" w:cs="仿宋_GB2312"/>
          <w:bCs/>
          <w:color w:val="auto"/>
          <w:sz w:val="32"/>
          <w:szCs w:val="32"/>
        </w:rPr>
        <w:t>（二）</w:t>
      </w:r>
      <w:r>
        <w:rPr>
          <w:rFonts w:hint="eastAsia" w:ascii="仿宋_GB2312" w:hAnsi="仿宋_GB2312" w:eastAsia="仿宋_GB2312" w:cs="仿宋_GB2312"/>
          <w:color w:val="auto"/>
          <w:sz w:val="32"/>
          <w:szCs w:val="32"/>
        </w:rPr>
        <w:t>负责自然资源调查监测评价。按照国家制定的自然资源</w:t>
      </w:r>
      <w:r>
        <w:rPr>
          <w:rFonts w:hint="eastAsia" w:ascii="仿宋_GB2312" w:hAnsi="仿宋_GB2312" w:eastAsia="仿宋_GB2312" w:cs="仿宋_GB2312"/>
          <w:color w:val="auto"/>
          <w:kern w:val="0"/>
          <w:sz w:val="32"/>
          <w:szCs w:val="32"/>
        </w:rPr>
        <w:t>调查监测评价的指标体系和统计标准，建立统一规范的自然资源调查监测评价制度。组织实施自然资源基础调查、专项调查和监测。负责自然资源调查监测评价成果的监督管理和信息发布。指导旗（市、区）开展自然资源调查监测评价工作。</w:t>
      </w:r>
    </w:p>
    <w:p>
      <w:pPr>
        <w:spacing w:line="560" w:lineRule="exact"/>
        <w:ind w:firstLine="645"/>
        <w:rPr>
          <w:rFonts w:hint="eastAsia" w:ascii="仿宋_GB2312" w:hAnsi="仿宋_GB2312" w:eastAsia="仿宋_GB2312" w:cs="仿宋_GB2312"/>
          <w:color w:val="auto"/>
          <w:sz w:val="32"/>
          <w:szCs w:val="32"/>
        </w:rPr>
      </w:pPr>
      <w:r>
        <w:rPr>
          <w:rFonts w:hint="eastAsia" w:ascii="仿宋_GB2312" w:hAnsi="仿宋_GB2312" w:eastAsia="仿宋_GB2312" w:cs="仿宋_GB2312"/>
          <w:bCs/>
          <w:color w:val="auto"/>
          <w:sz w:val="32"/>
          <w:szCs w:val="32"/>
        </w:rPr>
        <w:t>（三）</w:t>
      </w:r>
      <w:r>
        <w:rPr>
          <w:rFonts w:hint="eastAsia" w:ascii="仿宋_GB2312" w:hAnsi="仿宋_GB2312" w:eastAsia="仿宋_GB2312" w:cs="仿宋_GB2312"/>
          <w:color w:val="auto"/>
          <w:sz w:val="32"/>
          <w:szCs w:val="32"/>
        </w:rPr>
        <w:t>负责自然资源统一确权登记工作。</w:t>
      </w:r>
      <w:r>
        <w:rPr>
          <w:rFonts w:hint="eastAsia" w:ascii="仿宋_GB2312" w:hAnsi="仿宋_GB2312" w:eastAsia="仿宋_GB2312" w:cs="仿宋_GB2312"/>
          <w:color w:val="auto"/>
          <w:kern w:val="0"/>
          <w:sz w:val="32"/>
          <w:szCs w:val="32"/>
        </w:rPr>
        <w:t>组织落实国家、自治区制定的各类自然资源和不动产统一确权登记、权籍调查、不动产测绘、争议调处、成果应用的制度、标准、规范。建立健全全市自然资源和不动产登记信息管理基础平台。负责自然资源和不动产登记资料收集、整理、共享、汇交管理等。指导监督旗（市、区）自然资源和不动产确权登记工作。</w:t>
      </w:r>
    </w:p>
    <w:p>
      <w:pPr>
        <w:wordWrap w:val="0"/>
        <w:spacing w:line="560" w:lineRule="exact"/>
        <w:ind w:firstLine="640"/>
        <w:jc w:val="left"/>
        <w:rPr>
          <w:rFonts w:hint="eastAsia" w:ascii="仿宋_GB2312" w:hAnsi="仿宋_GB2312" w:eastAsia="仿宋_GB2312" w:cs="仿宋_GB2312"/>
          <w:color w:val="auto"/>
          <w:sz w:val="32"/>
          <w:szCs w:val="32"/>
        </w:rPr>
      </w:pPr>
      <w:r>
        <w:rPr>
          <w:rFonts w:hint="eastAsia" w:ascii="仿宋_GB2312" w:hAnsi="仿宋_GB2312" w:eastAsia="仿宋_GB2312" w:cs="仿宋_GB2312"/>
          <w:bCs/>
          <w:color w:val="auto"/>
          <w:sz w:val="32"/>
          <w:szCs w:val="32"/>
        </w:rPr>
        <w:t>（四）</w:t>
      </w:r>
      <w:r>
        <w:rPr>
          <w:rFonts w:hint="eastAsia" w:ascii="仿宋_GB2312" w:hAnsi="仿宋_GB2312" w:eastAsia="仿宋_GB2312" w:cs="仿宋_GB2312"/>
          <w:color w:val="auto"/>
          <w:kern w:val="0"/>
          <w:sz w:val="32"/>
          <w:szCs w:val="32"/>
        </w:rPr>
        <w:t>负责自然资源资产有偿使用工作。负责全市全民所有自然资源资产核算。编制全民所有自然资源资产负债表。组织实施全民所有自然资源资产划拨、出让、租赁、作价出资和土地储备政策，合理配置全民所有自然资源资产。负责自然资源资产价值评估管理，按权限依法收缴相关资产收益。</w:t>
      </w:r>
    </w:p>
    <w:p>
      <w:pPr>
        <w:wordWrap w:val="0"/>
        <w:spacing w:line="560" w:lineRule="exact"/>
        <w:ind w:firstLine="640"/>
        <w:jc w:val="left"/>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bCs/>
          <w:color w:val="auto"/>
          <w:sz w:val="32"/>
          <w:szCs w:val="32"/>
        </w:rPr>
        <w:t>（五）</w:t>
      </w:r>
      <w:r>
        <w:rPr>
          <w:rFonts w:hint="eastAsia" w:ascii="仿宋_GB2312" w:hAnsi="仿宋_GB2312" w:eastAsia="仿宋_GB2312" w:cs="仿宋_GB2312"/>
          <w:color w:val="auto"/>
          <w:kern w:val="0"/>
          <w:sz w:val="32"/>
          <w:szCs w:val="32"/>
        </w:rPr>
        <w:t>负责自然资源的合理开发利用。组织实施自然资源发展规划，落实国家、自治区自然资源开发利用标准，建立政府公示自然资源价格体系，组织开展自然资源分等定级价格评估，开展自然资源利用评价考核，指导节约集约利用。负责自然资源市场监管。组织实施自然资源管理涉及宏观调控、区域协调和城乡统筹的政策措施。</w:t>
      </w:r>
    </w:p>
    <w:p>
      <w:pPr>
        <w:spacing w:line="560" w:lineRule="exact"/>
        <w:ind w:firstLine="645"/>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六）负责建立空间规划体系并监督实施。推进落实主体功能区战略和制度。组织指导全市国土空间规划、相关专项规划、控制性详细规划、城市设计、村庄规划的编制工作，并监督实施。组织划定生态保护红线、永久基本农田、城镇开发边界等控制线，构建节约资源和保护环境的生产、生活、生态空间布局。开展国土空间开发适宜性评价，建立国土空间规划实施的监测、评估和预警体系。执行国土空间用途管制制度，研究拟订城乡规划政策并监督实施。组织拟订并实施土地等自然资源年度利用计划。负责土地等国土空间用途转用工作。负责土地征收征用管理。</w:t>
      </w:r>
    </w:p>
    <w:p>
      <w:pPr>
        <w:spacing w:line="560" w:lineRule="exact"/>
        <w:ind w:firstLine="645"/>
        <w:rPr>
          <w:rFonts w:hint="eastAsia" w:ascii="仿宋_GB2312" w:hAnsi="仿宋_GB2312" w:eastAsia="仿宋_GB2312" w:cs="仿宋_GB2312"/>
          <w:color w:val="auto"/>
          <w:sz w:val="32"/>
          <w:szCs w:val="32"/>
        </w:rPr>
      </w:pPr>
      <w:r>
        <w:rPr>
          <w:rFonts w:hint="eastAsia" w:ascii="仿宋_GB2312" w:hAnsi="仿宋_GB2312" w:eastAsia="仿宋_GB2312" w:cs="仿宋_GB2312"/>
          <w:bCs/>
          <w:color w:val="auto"/>
          <w:sz w:val="32"/>
          <w:szCs w:val="32"/>
        </w:rPr>
        <w:t>（七）</w:t>
      </w:r>
      <w:r>
        <w:rPr>
          <w:rFonts w:hint="eastAsia" w:ascii="仿宋_GB2312" w:hAnsi="仿宋_GB2312" w:eastAsia="仿宋_GB2312" w:cs="仿宋_GB2312"/>
          <w:color w:val="auto"/>
          <w:sz w:val="32"/>
          <w:szCs w:val="32"/>
        </w:rPr>
        <w:t>负责统筹国土空间生态修复。组织编制国土空间生态修复规划并实施有关生态修复工程。组织政府投资的国土空间综合整治、土地整理复垦、矿山地质环境恢复治理工作。建立和实施生态保护补偿制度，制定合理利用社会资金进行生态修复的政策措施，提出备选项目。</w:t>
      </w:r>
    </w:p>
    <w:p>
      <w:pPr>
        <w:spacing w:line="560" w:lineRule="exact"/>
        <w:ind w:firstLine="645"/>
        <w:rPr>
          <w:rFonts w:hint="eastAsia" w:ascii="仿宋_GB2312" w:hAnsi="仿宋_GB2312" w:eastAsia="仿宋_GB2312" w:cs="仿宋_GB2312"/>
          <w:color w:val="auto"/>
          <w:sz w:val="32"/>
          <w:szCs w:val="32"/>
        </w:rPr>
      </w:pPr>
      <w:r>
        <w:rPr>
          <w:rFonts w:hint="eastAsia" w:ascii="仿宋_GB2312" w:hAnsi="仿宋_GB2312" w:eastAsia="仿宋_GB2312" w:cs="仿宋_GB2312"/>
          <w:bCs/>
          <w:color w:val="auto"/>
          <w:sz w:val="32"/>
          <w:szCs w:val="32"/>
        </w:rPr>
        <w:t>（八）</w:t>
      </w:r>
      <w:r>
        <w:rPr>
          <w:rFonts w:hint="eastAsia" w:ascii="仿宋_GB2312" w:hAnsi="仿宋_GB2312" w:eastAsia="仿宋_GB2312" w:cs="仿宋_GB2312"/>
          <w:color w:val="auto"/>
          <w:sz w:val="32"/>
          <w:szCs w:val="32"/>
        </w:rPr>
        <w:t>负责组织实施耕地保护制度工作。牵头实施耕地保护政策，负责耕地数量、质量、生态保护。组织实施耕地保护责任目标考核和永久基本农田特殊保护。落实耕地占补平衡制度，监督占用耕地补偿制度执行情况。负责权限范围内全市土地开发规划设计文件审查和项目验收工作。</w:t>
      </w:r>
    </w:p>
    <w:p>
      <w:pPr>
        <w:spacing w:line="560" w:lineRule="exact"/>
        <w:ind w:firstLine="645"/>
        <w:rPr>
          <w:rFonts w:hint="eastAsia" w:ascii="仿宋_GB2312" w:hAnsi="仿宋_GB2312" w:eastAsia="仿宋_GB2312" w:cs="仿宋_GB2312"/>
          <w:color w:val="auto"/>
          <w:sz w:val="32"/>
          <w:szCs w:val="32"/>
        </w:rPr>
      </w:pPr>
      <w:r>
        <w:rPr>
          <w:rFonts w:hint="eastAsia" w:ascii="仿宋_GB2312" w:hAnsi="仿宋_GB2312" w:eastAsia="仿宋_GB2312" w:cs="仿宋_GB2312"/>
          <w:bCs/>
          <w:color w:val="auto"/>
          <w:sz w:val="32"/>
          <w:szCs w:val="32"/>
        </w:rPr>
        <w:t>（九）负责地质灾害防治相关工作。</w:t>
      </w:r>
      <w:r>
        <w:rPr>
          <w:rFonts w:hint="eastAsia" w:ascii="仿宋_GB2312" w:hAnsi="仿宋_GB2312" w:eastAsia="仿宋_GB2312" w:cs="仿宋_GB2312"/>
          <w:color w:val="auto"/>
          <w:sz w:val="32"/>
          <w:szCs w:val="32"/>
        </w:rPr>
        <w:t xml:space="preserve">负责落实综合防灾减灾规划相关要求，组织编制地质灾害防治规划并指导实施。组织指导协调和监督地质灾害调查评价及隐患的普查、详查、排查。指导开展群测群防、专业监测和预报预警等工作，指导开展地质灾害工程治理工作。承担地质灾害的预防和治理工作。监督管理地下水过量开采及引发的地面沉降等地质问题。   </w:t>
      </w:r>
    </w:p>
    <w:p>
      <w:pPr>
        <w:spacing w:line="560" w:lineRule="exact"/>
        <w:ind w:firstLine="645"/>
        <w:rPr>
          <w:rFonts w:hint="eastAsia" w:ascii="仿宋_GB2312" w:hAnsi="仿宋_GB2312" w:eastAsia="仿宋_GB2312" w:cs="仿宋_GB2312"/>
          <w:color w:val="auto"/>
          <w:sz w:val="32"/>
          <w:szCs w:val="32"/>
        </w:rPr>
      </w:pPr>
      <w:r>
        <w:rPr>
          <w:rFonts w:hint="eastAsia" w:ascii="仿宋_GB2312" w:hAnsi="仿宋_GB2312" w:eastAsia="仿宋_GB2312" w:cs="仿宋_GB2312"/>
          <w:bCs/>
          <w:color w:val="auto"/>
          <w:sz w:val="32"/>
          <w:szCs w:val="32"/>
        </w:rPr>
        <w:t>（十）</w:t>
      </w:r>
      <w:r>
        <w:rPr>
          <w:rFonts w:hint="eastAsia" w:ascii="仿宋_GB2312" w:hAnsi="仿宋_GB2312" w:eastAsia="仿宋_GB2312" w:cs="仿宋_GB2312"/>
          <w:color w:val="auto"/>
          <w:sz w:val="32"/>
          <w:szCs w:val="32"/>
        </w:rPr>
        <w:t>负责矿产资源管理工作。负责管理全市地质勘查行业和全市地质工作。管理全市地质勘查项目，组织实施全市重大地质矿产勘查工作。负责古生物化石的监督管理。落实重点矿区矿业权设置方案，管理全市矿业权及市场建设，整顿和规范矿业秩序工作，调处矿业权权属纠纷。负责市本级权限采矿权的出让及审批登记工作。负责矿产资源储量管理及压覆矿产资源审批。</w:t>
      </w:r>
    </w:p>
    <w:p>
      <w:pPr>
        <w:spacing w:line="560" w:lineRule="exact"/>
        <w:ind w:firstLine="645"/>
        <w:rPr>
          <w:rFonts w:hint="eastAsia" w:ascii="仿宋_GB2312" w:hAnsi="仿宋_GB2312" w:eastAsia="仿宋_GB2312" w:cs="仿宋_GB2312"/>
          <w:color w:val="auto"/>
          <w:sz w:val="32"/>
          <w:szCs w:val="32"/>
        </w:rPr>
      </w:pPr>
      <w:r>
        <w:rPr>
          <w:rFonts w:hint="eastAsia" w:ascii="仿宋_GB2312" w:hAnsi="仿宋_GB2312" w:eastAsia="仿宋_GB2312" w:cs="仿宋_GB2312"/>
          <w:bCs/>
          <w:color w:val="auto"/>
          <w:sz w:val="32"/>
          <w:szCs w:val="32"/>
        </w:rPr>
        <w:t>（十一）</w:t>
      </w:r>
      <w:r>
        <w:rPr>
          <w:rFonts w:hint="eastAsia" w:ascii="仿宋_GB2312" w:hAnsi="仿宋_GB2312" w:eastAsia="仿宋_GB2312" w:cs="仿宋_GB2312"/>
          <w:color w:val="auto"/>
          <w:sz w:val="32"/>
          <w:szCs w:val="32"/>
        </w:rPr>
        <w:t>负责测绘地理信息管理工作。负责基础测绘和测绘行业管理。负责测绘资质资格与信用管理。监督管理全市地理信息安全和市场秩序。负责地理信息公共服务管理。负责测量标志保护。</w:t>
      </w:r>
    </w:p>
    <w:p>
      <w:pPr>
        <w:spacing w:line="560" w:lineRule="exact"/>
        <w:ind w:firstLine="645"/>
        <w:rPr>
          <w:rFonts w:hint="eastAsia" w:ascii="仿宋_GB2312" w:hAnsi="仿宋_GB2312" w:eastAsia="仿宋_GB2312" w:cs="仿宋_GB2312"/>
          <w:color w:val="auto"/>
          <w:sz w:val="32"/>
          <w:szCs w:val="32"/>
        </w:rPr>
      </w:pPr>
      <w:r>
        <w:rPr>
          <w:rFonts w:hint="eastAsia" w:ascii="仿宋_GB2312" w:hAnsi="仿宋_GB2312" w:eastAsia="仿宋_GB2312" w:cs="仿宋_GB2312"/>
          <w:bCs/>
          <w:color w:val="auto"/>
          <w:sz w:val="32"/>
          <w:szCs w:val="32"/>
        </w:rPr>
        <w:t>（十二）负责督察和指导监督执法工作。</w:t>
      </w:r>
      <w:r>
        <w:rPr>
          <w:rFonts w:hint="eastAsia" w:ascii="仿宋_GB2312" w:hAnsi="仿宋_GB2312" w:eastAsia="仿宋_GB2312" w:cs="仿宋_GB2312"/>
          <w:color w:val="auto"/>
          <w:sz w:val="32"/>
          <w:szCs w:val="32"/>
        </w:rPr>
        <w:t>落实国家关于自然资源和国土空间规划的重大方针政策、决策部署及法律法规执行情况的督察意见。监督自然资源开发利用和国土空间规划及测绘重大违法案件查处。指导监督旗（市、区）有关行政执法工作。按权限对旗（市、区）政府执行自然资源和国土空间规划等法律法规情况进行督察。</w:t>
      </w:r>
    </w:p>
    <w:p>
      <w:pPr>
        <w:spacing w:line="560" w:lineRule="exact"/>
        <w:ind w:firstLine="645"/>
        <w:rPr>
          <w:rFonts w:hint="eastAsia" w:ascii="仿宋_GB2312" w:hAnsi="仿宋_GB2312" w:eastAsia="仿宋_GB2312" w:cs="仿宋_GB2312"/>
          <w:color w:val="auto"/>
          <w:sz w:val="32"/>
          <w:szCs w:val="32"/>
        </w:rPr>
      </w:pPr>
      <w:r>
        <w:rPr>
          <w:rFonts w:hint="eastAsia" w:ascii="仿宋_GB2312" w:hAnsi="仿宋_GB2312" w:eastAsia="仿宋_GB2312" w:cs="仿宋_GB2312"/>
          <w:bCs/>
          <w:color w:val="auto"/>
          <w:sz w:val="32"/>
          <w:szCs w:val="32"/>
        </w:rPr>
        <w:t>（十三）</w:t>
      </w:r>
      <w:r>
        <w:rPr>
          <w:rFonts w:hint="eastAsia" w:ascii="仿宋_GB2312" w:hAnsi="仿宋_GB2312" w:eastAsia="仿宋_GB2312" w:cs="仿宋_GB2312"/>
          <w:color w:val="auto"/>
          <w:sz w:val="32"/>
          <w:szCs w:val="32"/>
        </w:rPr>
        <w:t>按分工承担安全生产相关工作。协助安全生产监管部门在国土空间规划中统筹考虑安全生产工作。</w:t>
      </w:r>
    </w:p>
    <w:p>
      <w:pPr>
        <w:spacing w:line="560" w:lineRule="exact"/>
        <w:ind w:firstLine="645"/>
        <w:rPr>
          <w:rFonts w:hint="eastAsia" w:ascii="仿宋_GB2312" w:hAnsi="仿宋_GB2312" w:eastAsia="仿宋_GB2312" w:cs="仿宋_GB2312"/>
          <w:color w:val="auto"/>
          <w:sz w:val="32"/>
          <w:szCs w:val="32"/>
        </w:rPr>
      </w:pPr>
      <w:r>
        <w:rPr>
          <w:rFonts w:hint="eastAsia" w:ascii="仿宋_GB2312" w:hAnsi="仿宋_GB2312" w:eastAsia="仿宋_GB2312" w:cs="仿宋_GB2312"/>
          <w:bCs/>
          <w:color w:val="auto"/>
          <w:sz w:val="32"/>
          <w:szCs w:val="32"/>
        </w:rPr>
        <w:t>（十四）</w:t>
      </w:r>
      <w:r>
        <w:rPr>
          <w:rFonts w:hint="eastAsia" w:ascii="仿宋_GB2312" w:hAnsi="仿宋_GB2312" w:eastAsia="仿宋_GB2312" w:cs="仿宋_GB2312"/>
          <w:color w:val="auto"/>
          <w:sz w:val="32"/>
          <w:szCs w:val="32"/>
        </w:rPr>
        <w:t>负责市中心城城市规划区范围内各类建设项目的规划审批管理工作。</w:t>
      </w:r>
    </w:p>
    <w:p>
      <w:pPr>
        <w:spacing w:line="560" w:lineRule="exact"/>
        <w:ind w:firstLine="645"/>
        <w:rPr>
          <w:rFonts w:hint="eastAsia" w:ascii="仿宋_GB2312" w:hAnsi="仿宋_GB2312" w:eastAsia="仿宋_GB2312" w:cs="仿宋_GB2312"/>
          <w:color w:val="auto"/>
          <w:sz w:val="32"/>
          <w:szCs w:val="32"/>
          <w:u w:val="single"/>
        </w:rPr>
      </w:pPr>
      <w:r>
        <w:rPr>
          <w:rFonts w:hint="eastAsia" w:ascii="仿宋_GB2312" w:hAnsi="仿宋_GB2312" w:eastAsia="仿宋_GB2312" w:cs="仿宋_GB2312"/>
          <w:bCs/>
          <w:color w:val="auto"/>
          <w:sz w:val="32"/>
          <w:szCs w:val="32"/>
        </w:rPr>
        <w:t>（十五）</w:t>
      </w:r>
      <w:r>
        <w:rPr>
          <w:rFonts w:hint="eastAsia" w:ascii="仿宋_GB2312" w:hAnsi="仿宋_GB2312" w:eastAsia="仿宋_GB2312" w:cs="仿宋_GB2312"/>
          <w:color w:val="auto"/>
          <w:sz w:val="32"/>
          <w:szCs w:val="32"/>
        </w:rPr>
        <w:t>统一管理和协调市林业和草原局。</w:t>
      </w:r>
    </w:p>
    <w:p>
      <w:pPr>
        <w:spacing w:line="560" w:lineRule="exact"/>
        <w:ind w:firstLine="630"/>
        <w:rPr>
          <w:rFonts w:hint="eastAsia" w:ascii="仿宋_GB2312" w:hAnsi="仿宋_GB2312" w:eastAsia="仿宋_GB2312" w:cs="仿宋_GB2312"/>
          <w:color w:val="auto"/>
          <w:sz w:val="32"/>
        </w:rPr>
      </w:pPr>
      <w:r>
        <w:rPr>
          <w:rFonts w:hint="eastAsia" w:ascii="仿宋_GB2312" w:hAnsi="仿宋_GB2312" w:eastAsia="仿宋_GB2312" w:cs="仿宋_GB2312"/>
          <w:bCs/>
          <w:color w:val="auto"/>
          <w:sz w:val="32"/>
          <w:szCs w:val="32"/>
        </w:rPr>
        <w:t>（十六）</w:t>
      </w:r>
      <w:r>
        <w:rPr>
          <w:rFonts w:hint="eastAsia" w:ascii="仿宋_GB2312" w:hAnsi="仿宋_GB2312" w:eastAsia="仿宋_GB2312" w:cs="仿宋_GB2312"/>
          <w:color w:val="auto"/>
          <w:sz w:val="32"/>
        </w:rPr>
        <w:t>完成</w:t>
      </w:r>
      <w:r>
        <w:rPr>
          <w:rFonts w:hint="eastAsia" w:ascii="仿宋_GB2312" w:hAnsi="仿宋_GB2312" w:eastAsia="仿宋_GB2312" w:cs="仿宋_GB2312"/>
          <w:color w:val="auto"/>
          <w:sz w:val="32"/>
          <w:lang w:eastAsia="zh-CN"/>
        </w:rPr>
        <w:t>市委、市政府</w:t>
      </w:r>
      <w:r>
        <w:rPr>
          <w:rFonts w:hint="eastAsia" w:ascii="仿宋_GB2312" w:hAnsi="仿宋_GB2312" w:eastAsia="仿宋_GB2312" w:cs="仿宋_GB2312"/>
          <w:color w:val="auto"/>
          <w:sz w:val="32"/>
        </w:rPr>
        <w:t>和上级业务部门交办的其他工作。</w:t>
      </w:r>
    </w:p>
    <w:p>
      <w:pPr>
        <w:spacing w:line="560" w:lineRule="exact"/>
        <w:ind w:firstLine="630"/>
        <w:rPr>
          <w:rFonts w:hint="eastAsia" w:ascii="仿宋_GB2312" w:hAnsi="仿宋_GB2312" w:eastAsia="仿宋_GB2312" w:cs="仿宋_GB2312"/>
          <w:color w:val="auto"/>
          <w:sz w:val="32"/>
          <w:szCs w:val="32"/>
        </w:rPr>
      </w:pPr>
      <w:r>
        <w:rPr>
          <w:rFonts w:hint="eastAsia" w:ascii="仿宋_GB2312" w:hAnsi="仿宋_GB2312" w:eastAsia="仿宋_GB2312" w:cs="仿宋_GB2312"/>
          <w:bCs/>
          <w:color w:val="auto"/>
          <w:sz w:val="32"/>
          <w:szCs w:val="32"/>
        </w:rPr>
        <w:t>（十七）</w:t>
      </w:r>
      <w:r>
        <w:rPr>
          <w:rFonts w:hint="eastAsia" w:ascii="仿宋_GB2312" w:hAnsi="仿宋_GB2312" w:eastAsia="仿宋_GB2312" w:cs="仿宋_GB2312"/>
          <w:color w:val="auto"/>
          <w:sz w:val="32"/>
          <w:szCs w:val="32"/>
        </w:rPr>
        <w:t>职能转变。市自然资源局要落实中央关于统一行使全民所有自然资源资产所有者职责，统一行使所有国土空间用途管制和生态保护修复职责的要求，发挥国土空间规划的管控作用，为保护和合理开发利用自然资源提供科学指引。进一步加强自然资源的保护和合理开发利用，建立健全源头保护和全过程修复治理相结合的工作机制，实现整体保护、系统修复、综合治理。创新激励约束并举的制度措施，推进自然资源节约集约利用。进一步承接落实上级下放有关行政审批事项，强化监管力度，强化自然资源管理规则、标准、制度的约束性作用，推进自然资源确权登记和评估的便民高效。</w:t>
      </w:r>
    </w:p>
    <w:p>
      <w:pPr>
        <w:spacing w:line="560" w:lineRule="exact"/>
        <w:ind w:firstLine="63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 xml:space="preserve">（十八）有关职责分工。 </w:t>
      </w:r>
    </w:p>
    <w:p>
      <w:pPr>
        <w:spacing w:line="560" w:lineRule="exact"/>
        <w:ind w:firstLine="63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与市应急局在自然灾害防救方面的职责分工。</w:t>
      </w:r>
    </w:p>
    <w:p>
      <w:pPr>
        <w:spacing w:line="560" w:lineRule="exact"/>
        <w:ind w:firstLine="63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（1）市自然资源局</w:t>
      </w:r>
      <w:r>
        <w:rPr>
          <w:rFonts w:hint="eastAsia" w:ascii="仿宋_GB2312" w:hAnsi="仿宋_GB2312" w:eastAsia="仿宋_GB2312" w:cs="仿宋_GB2312"/>
          <w:bCs/>
          <w:color w:val="auto"/>
          <w:sz w:val="32"/>
          <w:szCs w:val="32"/>
        </w:rPr>
        <w:t>负责地质灾害防治相关工作。</w:t>
      </w:r>
      <w:r>
        <w:rPr>
          <w:rFonts w:hint="eastAsia" w:ascii="仿宋_GB2312" w:hAnsi="仿宋_GB2312" w:eastAsia="仿宋_GB2312" w:cs="仿宋_GB2312"/>
          <w:color w:val="auto"/>
          <w:sz w:val="32"/>
          <w:szCs w:val="32"/>
        </w:rPr>
        <w:t>负责落实综合防灾减灾规划相关要求，组织编制地质灾害防治规划并指导实施。组织指导协调和监督地质灾害调查评价及隐患的普查、详查、排查。指导开展群测群防、专业监测和预报预警等工作，指导开展地质灾害工程治理工作。</w:t>
      </w:r>
    </w:p>
    <w:p>
      <w:pPr>
        <w:spacing w:line="560" w:lineRule="exact"/>
        <w:ind w:firstLine="63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市应急局负责组织编制全市总体应急预案和安全生产类、自然灾害类专项预案，综合协调应急预案衔接工作，组织开展相关预案演练。按照分级负责的原则，组织指导协调自然灾害类应急救援；组织协调重大灾害应急救援工作，并按权限作出决定；承担呼伦贝尔市应对重大灾害指挥部工作，协助自治区和我市指定的负责同志组织灾害应急处置工作。组织编制综合防灾减灾规划，协调指导相关部门森林和草原火灾、水旱灾害、地震和地质灾害等防治工作；会同市自然资源局、市水利局、市气象局、市林草局等有关部门建立统一的应急管理信息平台，建立监测预警和灾情报告制度，健全自然灾害信息资源获取和共享机制，依法发布灾情及应急救援情况。开展多灾种和灾害链综合监测预警，指导开展自然灾害综合风险评估。按授权负责森林和草原火情监测预警和火险、火灾信息发布工作。</w:t>
      </w:r>
    </w:p>
    <w:p>
      <w:pPr>
        <w:keepNext w:val="0"/>
        <w:keepLines w:val="0"/>
        <w:widowControl/>
        <w:suppressLineNumbers w:val="0"/>
        <w:adjustRightInd w:val="0"/>
        <w:snapToGrid w:val="0"/>
        <w:spacing w:before="0" w:beforeAutospacing="1" w:after="0" w:afterAutospacing="1" w:line="580" w:lineRule="exact"/>
        <w:ind w:left="0" w:right="0" w:firstLine="600"/>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二、机构设置</w:t>
      </w:r>
    </w:p>
    <w:p>
      <w:pPr>
        <w:keepNext w:val="0"/>
        <w:keepLines w:val="0"/>
        <w:widowControl/>
        <w:suppressLineNumbers w:val="0"/>
        <w:adjustRightInd w:val="0"/>
        <w:snapToGrid w:val="0"/>
        <w:spacing w:before="0" w:beforeAutospacing="1" w:after="0" w:afterAutospacing="1" w:line="580" w:lineRule="exact"/>
        <w:ind w:left="0" w:right="0" w:firstLine="600"/>
        <w:jc w:val="left"/>
        <w:rPr>
          <w:rFonts w:hint="eastAsia" w:ascii="仿宋_GB2312" w:hAnsi="Times New Roman" w:eastAsia="仿宋_GB2312" w:cs="仿宋_GB2312"/>
          <w:color w:val="auto"/>
          <w:kern w:val="0"/>
          <w:sz w:val="32"/>
          <w:szCs w:val="32"/>
          <w:highlight w:val="none"/>
          <w:lang w:val="en-US" w:eastAsia="zh-CN" w:bidi="ar"/>
        </w:rPr>
      </w:pPr>
      <w:r>
        <w:rPr>
          <w:rFonts w:hint="eastAsia" w:ascii="仿宋_GB2312" w:hAnsi="Times New Roman" w:eastAsia="仿宋_GB2312" w:cs="仿宋_GB2312"/>
          <w:color w:val="auto"/>
          <w:kern w:val="0"/>
          <w:sz w:val="32"/>
          <w:szCs w:val="32"/>
          <w:highlight w:val="none"/>
          <w:lang w:val="en-US" w:eastAsia="zh-CN" w:bidi="ar"/>
        </w:rPr>
        <w:t>2019年呼伦贝尔市自然资源局本级预算编制单位</w:t>
      </w:r>
      <w:r>
        <w:rPr>
          <w:rFonts w:hint="eastAsia" w:ascii="仿宋_GB2312" w:hAnsi="仿宋_GB2312" w:eastAsia="仿宋_GB2312" w:cs="仿宋_GB2312"/>
          <w:b w:val="0"/>
          <w:bCs w:val="0"/>
          <w:color w:val="auto"/>
          <w:sz w:val="30"/>
          <w:szCs w:val="30"/>
          <w:lang w:val="en-US" w:eastAsia="zh-CN"/>
        </w:rPr>
        <w:t>现有独立编制机构19家，独立核算单位15</w:t>
      </w:r>
      <w:r>
        <w:rPr>
          <w:rFonts w:hint="eastAsia" w:ascii="仿宋_GB2312" w:hAnsi="Times New Roman" w:eastAsia="仿宋_GB2312" w:cs="仿宋_GB2312"/>
          <w:color w:val="auto"/>
          <w:kern w:val="0"/>
          <w:sz w:val="32"/>
          <w:szCs w:val="32"/>
          <w:highlight w:val="none"/>
          <w:lang w:val="en-US" w:eastAsia="zh-CN" w:bidi="ar"/>
        </w:rPr>
        <w:t>个，包括呼伦贝尔市自然资源局、呼伦贝尔市国土资源信息中心、呼伦贝尔是自然资源监察支队、呼伦贝尔市地产管理所、呼伦贝尔市土地矿产收购储备中心、呼伦贝尔市土地整治中心、呼伦贝尔市不动产登记中心、呼伦贝尔市自然资源局海拉尔分局、呼伦贝尔市海拉尔国土资源征费稽查站、呼伦贝尔市自然资源局经济技术开发区分局、呼伦贝尔市城市规划展览馆、呼伦贝尔市城市规划设计研究院、呼伦贝尔市规划审查服务中心、呼伦贝尔新区土地收购储备中心、呼伦贝尔新区分局。</w:t>
      </w:r>
    </w:p>
    <w:p>
      <w:pPr>
        <w:keepNext w:val="0"/>
        <w:keepLines w:val="0"/>
        <w:widowControl/>
        <w:suppressLineNumbers w:val="0"/>
        <w:adjustRightInd w:val="0"/>
        <w:snapToGrid w:val="0"/>
        <w:spacing w:before="0" w:beforeAutospacing="1" w:after="0" w:afterAutospacing="1" w:line="580" w:lineRule="exact"/>
        <w:ind w:left="0" w:right="0" w:firstLine="600"/>
        <w:jc w:val="left"/>
        <w:rPr>
          <w:rFonts w:hint="default" w:ascii="仿宋_GB2312" w:hAnsi="Times New Roman" w:eastAsia="仿宋_GB2312" w:cs="仿宋_GB2312"/>
          <w:color w:val="auto"/>
          <w:kern w:val="0"/>
          <w:sz w:val="32"/>
          <w:szCs w:val="32"/>
          <w:highlight w:val="none"/>
          <w:lang w:val="en-US" w:eastAsia="zh-CN" w:bidi="ar"/>
        </w:rPr>
      </w:pPr>
      <w:r>
        <w:rPr>
          <w:rFonts w:hint="eastAsia" w:ascii="仿宋_GB2312" w:hAnsi="Times New Roman" w:eastAsia="仿宋_GB2312" w:cs="仿宋_GB2312"/>
          <w:color w:val="auto"/>
          <w:kern w:val="0"/>
          <w:sz w:val="32"/>
          <w:szCs w:val="32"/>
          <w:highlight w:val="none"/>
          <w:lang w:val="en-US" w:eastAsia="zh-CN" w:bidi="ar"/>
        </w:rPr>
        <w:t>在职人员208人，离休人员1名，退休职工96名。</w:t>
      </w:r>
    </w:p>
    <w:p>
      <w:pPr>
        <w:keepNext w:val="0"/>
        <w:keepLines w:val="0"/>
        <w:widowControl/>
        <w:suppressLineNumbers w:val="0"/>
        <w:adjustRightInd w:val="0"/>
        <w:snapToGrid w:val="0"/>
        <w:spacing w:before="0" w:beforeAutospacing="1" w:after="0" w:afterAutospacing="1" w:line="580" w:lineRule="exact"/>
        <w:ind w:left="0" w:right="0" w:firstLine="600"/>
        <w:jc w:val="left"/>
        <w:rPr>
          <w:rFonts w:hint="default" w:ascii="Times New Roman" w:hAnsi="Times New Roman" w:eastAsia="仿宋_GB2312" w:cs="Times New Roman"/>
          <w:b/>
          <w:color w:val="auto"/>
          <w:kern w:val="0"/>
          <w:sz w:val="32"/>
          <w:szCs w:val="32"/>
        </w:rPr>
      </w:pPr>
      <w:r>
        <w:rPr>
          <w:rFonts w:hint="default" w:ascii="仿宋_GB2312" w:hAnsi="Times New Roman" w:eastAsia="仿宋_GB2312" w:cs="仿宋_GB2312"/>
          <w:b/>
          <w:color w:val="auto"/>
          <w:kern w:val="0"/>
          <w:sz w:val="32"/>
          <w:szCs w:val="32"/>
          <w:lang w:val="en-US" w:eastAsia="zh-CN" w:bidi="ar"/>
        </w:rPr>
        <w:t>第二部分 2019年度部门决算情况说明</w:t>
      </w:r>
    </w:p>
    <w:p>
      <w:pPr>
        <w:keepNext w:val="0"/>
        <w:keepLines w:val="0"/>
        <w:widowControl/>
        <w:suppressLineNumbers w:val="0"/>
        <w:adjustRightInd w:val="0"/>
        <w:snapToGrid w:val="0"/>
        <w:spacing w:before="0" w:beforeAutospacing="1" w:after="0" w:afterAutospacing="1" w:line="580" w:lineRule="exact"/>
        <w:ind w:left="0" w:right="0" w:firstLine="600"/>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一、关于2019年度预算执行情况分析</w:t>
      </w:r>
    </w:p>
    <w:p>
      <w:pPr>
        <w:keepNext w:val="0"/>
        <w:keepLines w:val="0"/>
        <w:widowControl/>
        <w:suppressLineNumbers w:val="0"/>
        <w:adjustRightInd w:val="0"/>
        <w:snapToGrid w:val="0"/>
        <w:spacing w:before="0" w:beforeAutospacing="1" w:after="0" w:afterAutospacing="1" w:line="580" w:lineRule="exact"/>
        <w:ind w:left="0" w:right="0" w:firstLine="600"/>
        <w:jc w:val="left"/>
        <w:rPr>
          <w:rFonts w:hint="default" w:ascii="Times New Roman" w:hAnsi="Times New Roman" w:eastAsia="仿宋_GB2312" w:cs="Times New Roman"/>
          <w:color w:val="auto"/>
          <w:kern w:val="0"/>
          <w:sz w:val="32"/>
          <w:szCs w:val="32"/>
          <w:lang w:val="en-US"/>
        </w:rPr>
      </w:pPr>
      <w:r>
        <w:rPr>
          <w:rFonts w:hint="default" w:ascii="仿宋_GB2312" w:hAnsi="Times New Roman" w:eastAsia="仿宋_GB2312" w:cs="仿宋_GB2312"/>
          <w:color w:val="auto"/>
          <w:kern w:val="0"/>
          <w:sz w:val="32"/>
          <w:szCs w:val="32"/>
          <w:lang w:val="en-US" w:eastAsia="zh-CN" w:bidi="ar"/>
        </w:rPr>
        <w:t>本部门2019年度收入合计7,887.02万元，其中：财政拨款收入</w:t>
      </w:r>
      <w:r>
        <w:rPr>
          <w:rFonts w:hint="eastAsia" w:ascii="仿宋_GB2312" w:hAnsi="Times New Roman" w:eastAsia="仿宋_GB2312" w:cs="仿宋_GB2312"/>
          <w:color w:val="auto"/>
          <w:kern w:val="0"/>
          <w:sz w:val="32"/>
          <w:szCs w:val="32"/>
          <w:lang w:val="en-US" w:eastAsia="zh-CN" w:bidi="ar"/>
        </w:rPr>
        <w:t>5,356.33</w:t>
      </w:r>
      <w:r>
        <w:rPr>
          <w:rFonts w:hint="default" w:ascii="仿宋_GB2312" w:hAnsi="Times New Roman" w:eastAsia="仿宋_GB2312" w:cs="仿宋_GB2312"/>
          <w:color w:val="auto"/>
          <w:kern w:val="0"/>
          <w:sz w:val="32"/>
          <w:szCs w:val="32"/>
          <w:lang w:val="en-US" w:eastAsia="zh-CN" w:bidi="ar"/>
        </w:rPr>
        <w:t>万元</w:t>
      </w:r>
      <w:r>
        <w:rPr>
          <w:rFonts w:hint="eastAsia" w:ascii="仿宋_GB2312" w:hAnsi="Times New Roman" w:eastAsia="仿宋_GB2312" w:cs="仿宋_GB2312"/>
          <w:color w:val="auto"/>
          <w:kern w:val="0"/>
          <w:sz w:val="32"/>
          <w:szCs w:val="32"/>
          <w:lang w:val="en-US" w:eastAsia="zh-CN" w:bidi="ar"/>
        </w:rPr>
        <w:t>，与年初预算相比, 财政拨款收增加1,164.60万元,</w:t>
      </w:r>
      <w:r>
        <w:rPr>
          <w:rFonts w:hint="default" w:ascii="仿宋_GB2312" w:hAnsi="Times New Roman" w:eastAsia="仿宋_GB2312" w:cs="仿宋_GB2312"/>
          <w:color w:val="auto"/>
          <w:kern w:val="0"/>
          <w:sz w:val="32"/>
          <w:szCs w:val="32"/>
          <w:lang w:val="en-US" w:eastAsia="zh-CN" w:bidi="ar"/>
        </w:rPr>
        <w:t>本部门2019年度支出合计6,767.70万元，其中：基本支出3,765.72万元，</w:t>
      </w:r>
      <w:r>
        <w:rPr>
          <w:rFonts w:hint="eastAsia" w:ascii="仿宋_GB2312" w:hAnsi="Times New Roman" w:eastAsia="仿宋_GB2312" w:cs="仿宋_GB2312"/>
          <w:color w:val="auto"/>
          <w:kern w:val="0"/>
          <w:sz w:val="32"/>
          <w:szCs w:val="32"/>
          <w:lang w:val="en-US" w:eastAsia="zh-CN" w:bidi="ar"/>
        </w:rPr>
        <w:t>与年初预算相比增加539.99万元,主要原因是由于机构改革，与呼伦贝尔市规划局合并，人员增加，因此收入、支出相应增加</w:t>
      </w:r>
      <w:r>
        <w:rPr>
          <w:rFonts w:hint="default" w:ascii="仿宋_GB2312" w:hAnsi="Times New Roman" w:eastAsia="仿宋_GB2312" w:cs="仿宋_GB2312"/>
          <w:color w:val="auto"/>
          <w:kern w:val="0"/>
          <w:sz w:val="32"/>
          <w:szCs w:val="32"/>
          <w:lang w:val="en-US" w:eastAsia="zh-CN" w:bidi="ar"/>
        </w:rPr>
        <w:t>。项目支出3,001.98万元，</w:t>
      </w:r>
      <w:r>
        <w:rPr>
          <w:rFonts w:hint="eastAsia" w:ascii="仿宋_GB2312" w:hAnsi="Times New Roman" w:eastAsia="仿宋_GB2312" w:cs="仿宋_GB2312"/>
          <w:color w:val="auto"/>
          <w:kern w:val="0"/>
          <w:sz w:val="32"/>
          <w:szCs w:val="32"/>
          <w:lang w:val="en-US" w:eastAsia="zh-CN" w:bidi="ar"/>
        </w:rPr>
        <w:t>与年初预算相比减少484.02万元,主要原因:项目未完成,项目支出相应减少。</w:t>
      </w:r>
    </w:p>
    <w:p>
      <w:pPr>
        <w:keepNext w:val="0"/>
        <w:keepLines w:val="0"/>
        <w:widowControl/>
        <w:suppressLineNumbers w:val="0"/>
        <w:adjustRightInd w:val="0"/>
        <w:snapToGrid w:val="0"/>
        <w:spacing w:before="0" w:beforeAutospacing="1" w:after="0" w:afterAutospacing="1" w:line="580" w:lineRule="exact"/>
        <w:ind w:left="0" w:right="0" w:firstLine="600"/>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二、关于2019年度决算情况说明</w:t>
      </w:r>
    </w:p>
    <w:p>
      <w:pPr>
        <w:keepNext w:val="0"/>
        <w:keepLines w:val="0"/>
        <w:widowControl/>
        <w:suppressLineNumbers w:val="0"/>
        <w:adjustRightInd w:val="0"/>
        <w:snapToGrid w:val="0"/>
        <w:spacing w:before="0" w:beforeAutospacing="1" w:after="0" w:afterAutospacing="1" w:line="580" w:lineRule="exact"/>
        <w:ind w:left="0" w:right="0" w:firstLine="600"/>
        <w:jc w:val="left"/>
        <w:rPr>
          <w:rFonts w:hint="default" w:ascii="Times New Roman" w:hAnsi="Times New Roman" w:eastAsia="楷体" w:cs="Times New Roman"/>
          <w:color w:val="auto"/>
          <w:kern w:val="0"/>
          <w:sz w:val="32"/>
          <w:szCs w:val="32"/>
        </w:rPr>
      </w:pPr>
      <w:r>
        <w:rPr>
          <w:rFonts w:hint="eastAsia" w:ascii="楷体" w:hAnsi="楷体" w:eastAsia="楷体" w:cs="楷体"/>
          <w:color w:val="auto"/>
          <w:kern w:val="0"/>
          <w:sz w:val="32"/>
          <w:szCs w:val="32"/>
          <w:lang w:val="en-US" w:eastAsia="zh-CN" w:bidi="ar"/>
        </w:rPr>
        <w:t>（一）关于收支情况总体说明</w:t>
      </w:r>
    </w:p>
    <w:p>
      <w:pPr>
        <w:keepNext w:val="0"/>
        <w:keepLines w:val="0"/>
        <w:widowControl/>
        <w:suppressLineNumbers w:val="0"/>
        <w:adjustRightInd w:val="0"/>
        <w:snapToGrid w:val="0"/>
        <w:spacing w:before="0" w:beforeAutospacing="1" w:after="0" w:afterAutospacing="1" w:line="580" w:lineRule="exact"/>
        <w:ind w:left="0" w:right="0" w:firstLine="600"/>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本部门2019年度收入总计9,906.19万元，其中：本年收入合计7,887.02万元，用事业基金弥补收支差额10.82万元，年初结转和结余2,008.35万元；支出总计9,906.19万元，其中：结余分配0.00万元，年末结转和结余3,138.49万元。与2018年度相比，收入总计增加5,672.10万元，增长134.00%；支出总计增加5,672.10万元，增长134.00%。主要原因：</w:t>
      </w:r>
      <w:r>
        <w:rPr>
          <w:rFonts w:hint="eastAsia" w:ascii="仿宋_GB2312" w:hAnsi="Times New Roman" w:eastAsia="仿宋_GB2312" w:cs="仿宋_GB2312"/>
          <w:color w:val="auto"/>
          <w:kern w:val="0"/>
          <w:sz w:val="32"/>
          <w:szCs w:val="32"/>
          <w:lang w:val="en-US" w:eastAsia="zh-CN" w:bidi="ar"/>
        </w:rPr>
        <w:t>由于机构改革，与呼伦贝尔市规划局合并，人员增加，因此收入、支出相应增加</w:t>
      </w:r>
      <w:r>
        <w:rPr>
          <w:rFonts w:hint="default" w:ascii="仿宋_GB2312" w:hAnsi="Times New Roman" w:eastAsia="仿宋_GB2312" w:cs="仿宋_GB2312"/>
          <w:color w:val="auto"/>
          <w:kern w:val="0"/>
          <w:sz w:val="32"/>
          <w:szCs w:val="32"/>
          <w:lang w:val="en-US" w:eastAsia="zh-CN" w:bidi="ar"/>
        </w:rPr>
        <w:t>。</w:t>
      </w:r>
    </w:p>
    <w:p>
      <w:pPr>
        <w:keepNext w:val="0"/>
        <w:keepLines w:val="0"/>
        <w:widowControl/>
        <w:suppressLineNumbers w:val="0"/>
        <w:adjustRightInd w:val="0"/>
        <w:snapToGrid w:val="0"/>
        <w:spacing w:before="0" w:beforeAutospacing="1" w:after="0" w:afterAutospacing="1" w:line="580" w:lineRule="exact"/>
        <w:ind w:left="0" w:right="0" w:firstLine="600"/>
        <w:jc w:val="left"/>
        <w:rPr>
          <w:rFonts w:hint="default" w:ascii="Times New Roman" w:hAnsi="Times New Roman" w:eastAsia="楷体" w:cs="Times New Roman"/>
          <w:color w:val="auto"/>
          <w:kern w:val="0"/>
          <w:sz w:val="32"/>
          <w:szCs w:val="32"/>
        </w:rPr>
      </w:pPr>
      <w:r>
        <w:rPr>
          <w:rFonts w:hint="eastAsia" w:ascii="楷体" w:hAnsi="楷体" w:eastAsia="楷体" w:cs="楷体"/>
          <w:color w:val="auto"/>
          <w:kern w:val="0"/>
          <w:sz w:val="32"/>
          <w:szCs w:val="32"/>
          <w:lang w:val="en-US" w:eastAsia="zh-CN" w:bidi="ar"/>
        </w:rPr>
        <w:t>（二）关于</w:t>
      </w:r>
      <w:r>
        <w:rPr>
          <w:rFonts w:hint="eastAsia" w:ascii="楷体" w:hAnsi="Times New Roman" w:eastAsia="楷体" w:cs="楷体"/>
          <w:color w:val="auto"/>
          <w:kern w:val="0"/>
          <w:sz w:val="32"/>
          <w:szCs w:val="32"/>
          <w:lang w:val="en-US" w:eastAsia="zh-CN" w:bidi="ar"/>
        </w:rPr>
        <w:t>2019</w:t>
      </w:r>
      <w:r>
        <w:rPr>
          <w:rFonts w:hint="eastAsia" w:ascii="楷体" w:hAnsi="楷体" w:eastAsia="楷体" w:cs="楷体"/>
          <w:color w:val="auto"/>
          <w:kern w:val="0"/>
          <w:sz w:val="32"/>
          <w:szCs w:val="32"/>
          <w:lang w:val="en-US" w:eastAsia="zh-CN" w:bidi="ar"/>
        </w:rPr>
        <w:t>年度收入决算情况说明</w:t>
      </w:r>
    </w:p>
    <w:p>
      <w:pPr>
        <w:keepNext w:val="0"/>
        <w:keepLines w:val="0"/>
        <w:widowControl/>
        <w:suppressLineNumbers w:val="0"/>
        <w:adjustRightInd w:val="0"/>
        <w:snapToGrid w:val="0"/>
        <w:spacing w:before="0" w:beforeAutospacing="1" w:after="0" w:afterAutospacing="1" w:line="580" w:lineRule="exact"/>
        <w:ind w:left="0" w:right="0" w:firstLine="600"/>
        <w:jc w:val="left"/>
        <w:rPr>
          <w:rFonts w:hint="default" w:ascii="仿宋_GB2312" w:hAnsi="Times New Roman" w:eastAsia="仿宋_GB2312" w:cs="仿宋_GB2312"/>
          <w:color w:val="auto"/>
          <w:kern w:val="0"/>
          <w:sz w:val="32"/>
          <w:szCs w:val="32"/>
          <w:lang w:val="en-US" w:eastAsia="zh-CN" w:bidi="ar"/>
        </w:rPr>
      </w:pPr>
      <w:r>
        <w:rPr>
          <w:rFonts w:hint="default" w:ascii="仿宋_GB2312" w:hAnsi="Times New Roman" w:eastAsia="仿宋_GB2312" w:cs="仿宋_GB2312"/>
          <w:color w:val="auto"/>
          <w:kern w:val="0"/>
          <w:sz w:val="32"/>
          <w:szCs w:val="32"/>
          <w:lang w:val="en-US" w:eastAsia="zh-CN" w:bidi="ar"/>
        </w:rPr>
        <w:t>本部门2019年度收入合计7,887.02万元，其中：财政拨款收入7,876.33万元，占99.90%；其他收入10.69万元，占0.10%。</w:t>
      </w:r>
    </w:p>
    <w:p>
      <w:pPr>
        <w:keepNext w:val="0"/>
        <w:keepLines w:val="0"/>
        <w:widowControl/>
        <w:suppressLineNumbers w:val="0"/>
        <w:adjustRightInd w:val="0"/>
        <w:snapToGrid w:val="0"/>
        <w:spacing w:before="0" w:beforeAutospacing="1" w:after="0" w:afterAutospacing="1" w:line="580" w:lineRule="exact"/>
        <w:ind w:left="0" w:right="0" w:firstLine="600"/>
        <w:jc w:val="left"/>
        <w:rPr>
          <w:rFonts w:hint="default" w:ascii="Times New Roman" w:hAnsi="Times New Roman" w:eastAsia="楷体" w:cs="Times New Roman"/>
          <w:color w:val="auto"/>
          <w:kern w:val="0"/>
          <w:sz w:val="32"/>
          <w:szCs w:val="32"/>
        </w:rPr>
      </w:pPr>
      <w:r>
        <w:rPr>
          <w:rFonts w:hint="eastAsia" w:ascii="楷体" w:hAnsi="楷体" w:eastAsia="楷体" w:cs="楷体"/>
          <w:color w:val="auto"/>
          <w:kern w:val="0"/>
          <w:sz w:val="32"/>
          <w:szCs w:val="32"/>
          <w:lang w:val="en-US" w:eastAsia="zh-CN" w:bidi="ar"/>
        </w:rPr>
        <w:t>（三）关于</w:t>
      </w:r>
      <w:r>
        <w:rPr>
          <w:rFonts w:hint="eastAsia" w:ascii="楷体" w:hAnsi="Times New Roman" w:eastAsia="楷体" w:cs="楷体"/>
          <w:color w:val="auto"/>
          <w:kern w:val="0"/>
          <w:sz w:val="32"/>
          <w:szCs w:val="32"/>
          <w:lang w:val="en-US" w:eastAsia="zh-CN" w:bidi="ar"/>
        </w:rPr>
        <w:t>2019</w:t>
      </w:r>
      <w:r>
        <w:rPr>
          <w:rFonts w:hint="eastAsia" w:ascii="楷体" w:hAnsi="楷体" w:eastAsia="楷体" w:cs="楷体"/>
          <w:color w:val="auto"/>
          <w:kern w:val="0"/>
          <w:sz w:val="32"/>
          <w:szCs w:val="32"/>
          <w:lang w:val="en-US" w:eastAsia="zh-CN" w:bidi="ar"/>
        </w:rPr>
        <w:t>年度支出决算情况说明</w:t>
      </w:r>
    </w:p>
    <w:p>
      <w:pPr>
        <w:keepNext w:val="0"/>
        <w:keepLines w:val="0"/>
        <w:widowControl/>
        <w:suppressLineNumbers w:val="0"/>
        <w:adjustRightInd w:val="0"/>
        <w:snapToGrid w:val="0"/>
        <w:spacing w:before="0" w:beforeAutospacing="1" w:after="0" w:afterAutospacing="1" w:line="580" w:lineRule="exact"/>
        <w:ind w:left="0" w:right="0" w:firstLine="600"/>
        <w:jc w:val="left"/>
        <w:rPr>
          <w:rFonts w:hint="eastAsia" w:ascii="仿宋_GB2312" w:hAnsi="Times New Roman" w:eastAsia="仿宋_GB2312" w:cs="仿宋_GB2312"/>
          <w:color w:val="auto"/>
          <w:kern w:val="0"/>
          <w:sz w:val="32"/>
          <w:szCs w:val="32"/>
          <w:lang w:val="en-US" w:eastAsia="zh-CN" w:bidi="ar"/>
        </w:rPr>
      </w:pPr>
      <w:r>
        <w:rPr>
          <w:rFonts w:hint="default" w:ascii="仿宋_GB2312" w:hAnsi="Times New Roman" w:eastAsia="仿宋_GB2312" w:cs="仿宋_GB2312"/>
          <w:color w:val="auto"/>
          <w:kern w:val="0"/>
          <w:sz w:val="32"/>
          <w:szCs w:val="32"/>
          <w:lang w:val="en-US" w:eastAsia="zh-CN" w:bidi="ar"/>
        </w:rPr>
        <w:t>本部门2019年度支出合计6,767.70万元，其中：基本支出3,765.72万元，占55.60%；项目支出3,001.98万元，占44.40%</w:t>
      </w:r>
      <w:r>
        <w:rPr>
          <w:rFonts w:hint="eastAsia" w:ascii="仿宋_GB2312" w:hAnsi="Times New Roman" w:eastAsia="仿宋_GB2312" w:cs="仿宋_GB2312"/>
          <w:color w:val="auto"/>
          <w:kern w:val="0"/>
          <w:sz w:val="32"/>
          <w:szCs w:val="32"/>
          <w:lang w:val="en-US" w:eastAsia="zh-CN" w:bidi="ar"/>
        </w:rPr>
        <w:t>。</w:t>
      </w:r>
    </w:p>
    <w:p>
      <w:pPr>
        <w:keepNext w:val="0"/>
        <w:keepLines w:val="0"/>
        <w:widowControl/>
        <w:suppressLineNumbers w:val="0"/>
        <w:adjustRightInd w:val="0"/>
        <w:snapToGrid w:val="0"/>
        <w:spacing w:before="0" w:beforeAutospacing="1" w:after="0" w:afterAutospacing="1" w:line="580" w:lineRule="exact"/>
        <w:ind w:left="0" w:right="0" w:firstLine="600"/>
        <w:jc w:val="left"/>
        <w:rPr>
          <w:rFonts w:hint="default" w:ascii="Times New Roman" w:hAnsi="Times New Roman" w:eastAsia="楷体" w:cs="Times New Roman"/>
          <w:color w:val="auto"/>
          <w:kern w:val="0"/>
          <w:sz w:val="32"/>
          <w:szCs w:val="32"/>
        </w:rPr>
      </w:pPr>
      <w:r>
        <w:rPr>
          <w:rFonts w:hint="eastAsia" w:ascii="楷体" w:hAnsi="楷体" w:eastAsia="楷体" w:cs="楷体"/>
          <w:color w:val="auto"/>
          <w:kern w:val="0"/>
          <w:sz w:val="32"/>
          <w:szCs w:val="32"/>
          <w:lang w:val="en-US" w:eastAsia="zh-CN" w:bidi="ar"/>
        </w:rPr>
        <w:t>（四）关于</w:t>
      </w:r>
      <w:r>
        <w:rPr>
          <w:rFonts w:hint="eastAsia" w:ascii="楷体" w:hAnsi="Times New Roman" w:eastAsia="楷体" w:cs="楷体"/>
          <w:color w:val="auto"/>
          <w:kern w:val="0"/>
          <w:sz w:val="32"/>
          <w:szCs w:val="32"/>
          <w:lang w:val="en-US" w:eastAsia="zh-CN" w:bidi="ar"/>
        </w:rPr>
        <w:t>2019</w:t>
      </w:r>
      <w:r>
        <w:rPr>
          <w:rFonts w:hint="eastAsia" w:ascii="楷体" w:hAnsi="楷体" w:eastAsia="楷体" w:cs="楷体"/>
          <w:color w:val="auto"/>
          <w:kern w:val="0"/>
          <w:sz w:val="32"/>
          <w:szCs w:val="32"/>
          <w:lang w:val="en-US" w:eastAsia="zh-CN" w:bidi="ar"/>
        </w:rPr>
        <w:t>年度财政拨款收入支出决算总体情况说明</w:t>
      </w:r>
    </w:p>
    <w:p>
      <w:pPr>
        <w:keepNext w:val="0"/>
        <w:keepLines w:val="0"/>
        <w:widowControl/>
        <w:suppressLineNumbers w:val="0"/>
        <w:adjustRightInd w:val="0"/>
        <w:snapToGrid w:val="0"/>
        <w:spacing w:before="0" w:beforeAutospacing="1" w:after="0" w:afterAutospacing="1" w:line="580" w:lineRule="exact"/>
        <w:ind w:left="0" w:right="0" w:firstLine="600"/>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本部门2019年度财政拨款收入总计9,692.80万元，其中：年初结转和结余1,816.47万元；支出总计9,692.80万元，其中：年末结转和结余2,950.17万元。与2018年度相比，收入增加5,552.50万元，增长134.10%；支出增加5,552.50万元，增长134.10%。主要原因：</w:t>
      </w:r>
      <w:r>
        <w:rPr>
          <w:rFonts w:hint="eastAsia" w:ascii="仿宋_GB2312" w:hAnsi="Times New Roman" w:eastAsia="仿宋_GB2312" w:cs="仿宋_GB2312"/>
          <w:color w:val="auto"/>
          <w:kern w:val="0"/>
          <w:sz w:val="32"/>
          <w:szCs w:val="32"/>
          <w:lang w:val="en-US" w:eastAsia="zh-CN" w:bidi="ar"/>
        </w:rPr>
        <w:t>由于机构改革，与呼伦贝尔市规划局合并人员增加所至，因此收入、支出相应有所增加</w:t>
      </w:r>
      <w:r>
        <w:rPr>
          <w:rFonts w:hint="default" w:ascii="仿宋_GB2312" w:hAnsi="Times New Roman" w:eastAsia="仿宋_GB2312" w:cs="仿宋_GB2312"/>
          <w:color w:val="auto"/>
          <w:kern w:val="0"/>
          <w:sz w:val="32"/>
          <w:szCs w:val="32"/>
          <w:lang w:val="en-US" w:eastAsia="zh-CN" w:bidi="ar"/>
        </w:rPr>
        <w:t>。</w:t>
      </w:r>
    </w:p>
    <w:p>
      <w:pPr>
        <w:keepNext w:val="0"/>
        <w:keepLines w:val="0"/>
        <w:widowControl/>
        <w:suppressLineNumbers w:val="0"/>
        <w:adjustRightInd w:val="0"/>
        <w:snapToGrid w:val="0"/>
        <w:spacing w:before="0" w:beforeAutospacing="1" w:after="0" w:afterAutospacing="1" w:line="580" w:lineRule="exact"/>
        <w:ind w:left="0" w:right="0" w:firstLine="600"/>
        <w:jc w:val="left"/>
        <w:rPr>
          <w:rFonts w:hint="default" w:ascii="Times New Roman" w:hAnsi="Times New Roman" w:eastAsia="楷体" w:cs="Times New Roman"/>
          <w:color w:val="auto"/>
          <w:kern w:val="0"/>
          <w:sz w:val="32"/>
          <w:szCs w:val="32"/>
        </w:rPr>
      </w:pPr>
      <w:r>
        <w:rPr>
          <w:rFonts w:hint="eastAsia" w:ascii="楷体" w:hAnsi="楷体" w:eastAsia="楷体" w:cs="楷体"/>
          <w:color w:val="auto"/>
          <w:kern w:val="0"/>
          <w:sz w:val="32"/>
          <w:szCs w:val="32"/>
          <w:lang w:val="en-US" w:eastAsia="zh-CN" w:bidi="ar"/>
        </w:rPr>
        <w:t>（五）关于</w:t>
      </w:r>
      <w:r>
        <w:rPr>
          <w:rFonts w:hint="eastAsia" w:ascii="楷体" w:hAnsi="Times New Roman" w:eastAsia="楷体" w:cs="楷体"/>
          <w:color w:val="auto"/>
          <w:kern w:val="0"/>
          <w:sz w:val="32"/>
          <w:szCs w:val="32"/>
          <w:lang w:val="en-US" w:eastAsia="zh-CN" w:bidi="ar"/>
        </w:rPr>
        <w:t>2019</w:t>
      </w:r>
      <w:r>
        <w:rPr>
          <w:rFonts w:hint="eastAsia" w:ascii="楷体" w:hAnsi="楷体" w:eastAsia="楷体" w:cs="楷体"/>
          <w:color w:val="auto"/>
          <w:kern w:val="0"/>
          <w:sz w:val="32"/>
          <w:szCs w:val="32"/>
          <w:lang w:val="en-US" w:eastAsia="zh-CN" w:bidi="ar"/>
        </w:rPr>
        <w:t>年度一般公共预算财政拨款支出决算情况说明</w:t>
      </w:r>
    </w:p>
    <w:p>
      <w:pPr>
        <w:keepNext w:val="0"/>
        <w:keepLines w:val="0"/>
        <w:widowControl/>
        <w:suppressLineNumbers w:val="0"/>
        <w:adjustRightInd w:val="0"/>
        <w:snapToGrid w:val="0"/>
        <w:spacing w:before="0" w:beforeAutospacing="1" w:after="0" w:afterAutospacing="1" w:line="580" w:lineRule="exact"/>
        <w:ind w:left="0" w:right="0" w:firstLine="600"/>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本部门2019年度一般公共预算财政拨款支出合计4,547.82万元，其中：基本支出3,754.85万元，占82.60%；项目支出792.97万元，占17.40%。</w:t>
      </w:r>
    </w:p>
    <w:p>
      <w:pPr>
        <w:keepNext w:val="0"/>
        <w:keepLines w:val="0"/>
        <w:widowControl/>
        <w:suppressLineNumbers w:val="0"/>
        <w:adjustRightInd w:val="0"/>
        <w:snapToGrid w:val="0"/>
        <w:spacing w:before="0" w:beforeAutospacing="1" w:after="0" w:afterAutospacing="1" w:line="580" w:lineRule="exact"/>
        <w:ind w:left="0" w:right="0" w:firstLine="600"/>
        <w:jc w:val="left"/>
        <w:rPr>
          <w:rFonts w:hint="default" w:ascii="Times New Roman" w:hAnsi="Times New Roman" w:eastAsia="楷体" w:cs="Times New Roman"/>
          <w:color w:val="auto"/>
          <w:kern w:val="0"/>
          <w:sz w:val="32"/>
          <w:szCs w:val="32"/>
        </w:rPr>
      </w:pPr>
      <w:r>
        <w:rPr>
          <w:rFonts w:hint="eastAsia" w:ascii="楷体" w:hAnsi="楷体" w:eastAsia="楷体" w:cs="楷体"/>
          <w:color w:val="auto"/>
          <w:kern w:val="0"/>
          <w:sz w:val="32"/>
          <w:szCs w:val="32"/>
          <w:lang w:val="en-US" w:eastAsia="zh-CN" w:bidi="ar"/>
        </w:rPr>
        <w:t>（六）关于</w:t>
      </w:r>
      <w:r>
        <w:rPr>
          <w:rFonts w:hint="eastAsia" w:ascii="楷体" w:hAnsi="Times New Roman" w:eastAsia="楷体" w:cs="楷体"/>
          <w:color w:val="auto"/>
          <w:kern w:val="0"/>
          <w:sz w:val="32"/>
          <w:szCs w:val="32"/>
          <w:lang w:val="en-US" w:eastAsia="zh-CN" w:bidi="ar"/>
        </w:rPr>
        <w:t>2019</w:t>
      </w:r>
      <w:r>
        <w:rPr>
          <w:rFonts w:hint="eastAsia" w:ascii="楷体" w:hAnsi="楷体" w:eastAsia="楷体" w:cs="楷体"/>
          <w:color w:val="auto"/>
          <w:kern w:val="0"/>
          <w:sz w:val="32"/>
          <w:szCs w:val="32"/>
          <w:lang w:val="en-US" w:eastAsia="zh-CN" w:bidi="ar"/>
        </w:rPr>
        <w:t>年度一般公共预算财政拨款基本支出决算情况说明</w:t>
      </w:r>
    </w:p>
    <w:p>
      <w:pPr>
        <w:keepNext w:val="0"/>
        <w:keepLines w:val="0"/>
        <w:widowControl/>
        <w:suppressLineNumbers w:val="0"/>
        <w:adjustRightInd w:val="0"/>
        <w:snapToGrid w:val="0"/>
        <w:spacing w:before="0" w:beforeAutospacing="1" w:after="0" w:afterAutospacing="1" w:line="580" w:lineRule="exact"/>
        <w:ind w:left="0" w:right="0" w:firstLine="600"/>
        <w:jc w:val="left"/>
        <w:rPr>
          <w:rFonts w:hint="default" w:ascii="仿宋_GB2312" w:hAnsi="Times New Roman" w:eastAsia="仿宋_GB2312" w:cs="仿宋_GB2312"/>
          <w:color w:val="auto"/>
          <w:kern w:val="0"/>
          <w:sz w:val="32"/>
          <w:szCs w:val="32"/>
          <w:lang w:val="en-US" w:eastAsia="zh-CN" w:bidi="ar"/>
        </w:rPr>
      </w:pPr>
      <w:r>
        <w:rPr>
          <w:rFonts w:hint="default" w:ascii="仿宋_GB2312" w:hAnsi="Times New Roman" w:eastAsia="仿宋_GB2312" w:cs="仿宋_GB2312"/>
          <w:color w:val="auto"/>
          <w:kern w:val="0"/>
          <w:sz w:val="32"/>
          <w:szCs w:val="32"/>
          <w:lang w:val="en-US" w:eastAsia="zh-CN" w:bidi="ar"/>
        </w:rPr>
        <w:t>本部门2019年度一般公共预算财政拨款基本支出3,754.85万元，其中：人员经费3,018.76万元，主要包括：</w:t>
      </w:r>
      <w:r>
        <w:rPr>
          <w:rFonts w:hint="eastAsia" w:ascii="仿宋_GB2312" w:hAnsi="Times New Roman" w:eastAsia="仿宋_GB2312" w:cs="仿宋_GB2312"/>
          <w:color w:val="auto"/>
          <w:kern w:val="0"/>
          <w:sz w:val="32"/>
          <w:szCs w:val="32"/>
          <w:lang w:val="en-US" w:eastAsia="zh-CN" w:bidi="ar"/>
        </w:rPr>
        <w:t>基本工资997.95万元，津补贴757.92万元，奖金46.05万元，绩效工资104.46万元，机关事业单位基本养老保险费263.48万元，职业年金缴费16.53万元，职工基本医疗保险缴费138.92万元，公务员医疗补助缴费69.53万元，其他社会保障缴费97.16万元，住房公积金220.09万元，医疗费28.07万元，其他工资福利支出53.78万元，对个和人家庭补助支出224.80万元，</w:t>
      </w:r>
      <w:r>
        <w:rPr>
          <w:rFonts w:hint="default" w:ascii="仿宋_GB2312" w:hAnsi="Times New Roman" w:eastAsia="仿宋_GB2312" w:cs="仿宋_GB2312"/>
          <w:color w:val="auto"/>
          <w:kern w:val="0"/>
          <w:sz w:val="32"/>
          <w:szCs w:val="32"/>
          <w:lang w:val="en-US" w:eastAsia="zh-CN" w:bidi="ar"/>
        </w:rPr>
        <w:t>较上年增加941.04万元，主要原因是：</w:t>
      </w:r>
      <w:r>
        <w:rPr>
          <w:rFonts w:hint="eastAsia" w:ascii="仿宋_GB2312" w:hAnsi="Times New Roman" w:eastAsia="仿宋_GB2312" w:cs="仿宋_GB2312"/>
          <w:color w:val="auto"/>
          <w:kern w:val="0"/>
          <w:sz w:val="32"/>
          <w:szCs w:val="32"/>
          <w:lang w:val="en-US" w:eastAsia="zh-CN" w:bidi="ar"/>
        </w:rPr>
        <w:t>由于机构改革，与呼伦贝尔市规划局合并人员增加所至，因此人员经费有所增加；</w:t>
      </w:r>
      <w:r>
        <w:rPr>
          <w:rFonts w:hint="default" w:ascii="仿宋_GB2312" w:hAnsi="Times New Roman" w:eastAsia="仿宋_GB2312" w:cs="仿宋_GB2312"/>
          <w:color w:val="auto"/>
          <w:kern w:val="0"/>
          <w:sz w:val="32"/>
          <w:szCs w:val="32"/>
          <w:lang w:val="en-US" w:eastAsia="zh-CN" w:bidi="ar"/>
        </w:rPr>
        <w:t>公用经费736.09万元，主要包括：</w:t>
      </w:r>
      <w:r>
        <w:rPr>
          <w:rFonts w:hint="eastAsia" w:ascii="仿宋_GB2312" w:hAnsi="Times New Roman" w:eastAsia="仿宋_GB2312" w:cs="仿宋_GB2312"/>
          <w:color w:val="auto"/>
          <w:kern w:val="0"/>
          <w:sz w:val="32"/>
          <w:szCs w:val="32"/>
          <w:lang w:val="en-US" w:eastAsia="zh-CN" w:bidi="ar"/>
        </w:rPr>
        <w:t>办公费105.72万元，印刷费7.18万元，手续费0.32万元，水、电费31.73万元，邮电费16.47万元，取暖费34.35万元，物业管理费170.36万元，差旅费61.19万元，维修（护）费43.77万元，租赁费2.05万元，会议费0.12万元，培训费1.39万元，公务接待费1.40万元，劳务费54.01万元，委托业务费55.62万元，工会经费5.54万元，公务用车运行维护费41.75万元，其他交通费用95.50万元</w:t>
      </w:r>
      <w:r>
        <w:rPr>
          <w:rFonts w:hint="default" w:ascii="仿宋_GB2312" w:hAnsi="Times New Roman" w:eastAsia="仿宋_GB2312" w:cs="仿宋_GB2312"/>
          <w:color w:val="auto"/>
          <w:kern w:val="0"/>
          <w:sz w:val="32"/>
          <w:szCs w:val="32"/>
          <w:lang w:val="en-US" w:eastAsia="zh-CN" w:bidi="ar"/>
        </w:rPr>
        <w:t>较上年增加275.32万元，主要原因是：</w:t>
      </w:r>
      <w:r>
        <w:rPr>
          <w:rFonts w:hint="eastAsia" w:ascii="仿宋_GB2312" w:hAnsi="Times New Roman" w:eastAsia="仿宋_GB2312" w:cs="仿宋_GB2312"/>
          <w:color w:val="auto"/>
          <w:kern w:val="0"/>
          <w:sz w:val="32"/>
          <w:szCs w:val="32"/>
          <w:lang w:val="en-US" w:eastAsia="zh-CN" w:bidi="ar"/>
        </w:rPr>
        <w:t>由于机构改革，与呼伦贝尔市规划局合并人员增加所至，因此公用经费有所增加。</w:t>
      </w:r>
    </w:p>
    <w:p>
      <w:pPr>
        <w:keepNext w:val="0"/>
        <w:keepLines w:val="0"/>
        <w:widowControl/>
        <w:suppressLineNumbers w:val="0"/>
        <w:adjustRightInd w:val="0"/>
        <w:snapToGrid w:val="0"/>
        <w:spacing w:before="0" w:beforeAutospacing="1" w:after="0" w:afterAutospacing="1" w:line="580" w:lineRule="exact"/>
        <w:ind w:left="0" w:right="0" w:firstLine="600"/>
        <w:jc w:val="left"/>
        <w:rPr>
          <w:rFonts w:hint="default" w:ascii="仿宋_GB2312" w:hAnsi="Times New Roman" w:eastAsia="仿宋_GB2312" w:cs="仿宋_GB2312"/>
          <w:color w:val="auto"/>
          <w:kern w:val="0"/>
          <w:sz w:val="32"/>
          <w:szCs w:val="32"/>
          <w:lang w:val="en-US" w:eastAsia="zh-CN" w:bidi="ar"/>
        </w:rPr>
      </w:pPr>
      <w:r>
        <w:rPr>
          <w:rFonts w:hint="eastAsia" w:ascii="仿宋_GB2312" w:hAnsi="Times New Roman" w:eastAsia="仿宋_GB2312" w:cs="仿宋_GB2312"/>
          <w:color w:val="auto"/>
          <w:kern w:val="0"/>
          <w:sz w:val="32"/>
          <w:szCs w:val="32"/>
          <w:lang w:val="en-US" w:eastAsia="zh-CN" w:bidi="ar"/>
        </w:rPr>
        <w:t>（七）关于2019年度财政拨款</w:t>
      </w:r>
      <w:r>
        <w:rPr>
          <w:rFonts w:hint="default" w:ascii="仿宋_GB2312" w:hAnsi="Times New Roman" w:eastAsia="仿宋_GB2312" w:cs="仿宋_GB2312"/>
          <w:color w:val="auto"/>
          <w:kern w:val="0"/>
          <w:sz w:val="32"/>
          <w:szCs w:val="32"/>
          <w:lang w:val="en-US" w:eastAsia="zh-CN" w:bidi="ar"/>
        </w:rPr>
        <w:t>“</w:t>
      </w:r>
      <w:r>
        <w:rPr>
          <w:rFonts w:hint="eastAsia" w:ascii="仿宋_GB2312" w:hAnsi="Times New Roman" w:eastAsia="仿宋_GB2312" w:cs="仿宋_GB2312"/>
          <w:color w:val="auto"/>
          <w:kern w:val="0"/>
          <w:sz w:val="32"/>
          <w:szCs w:val="32"/>
          <w:lang w:val="en-US" w:eastAsia="zh-CN" w:bidi="ar"/>
        </w:rPr>
        <w:t>三公</w:t>
      </w:r>
      <w:r>
        <w:rPr>
          <w:rFonts w:hint="default" w:ascii="仿宋_GB2312" w:hAnsi="Times New Roman" w:eastAsia="仿宋_GB2312" w:cs="仿宋_GB2312"/>
          <w:color w:val="auto"/>
          <w:kern w:val="0"/>
          <w:sz w:val="32"/>
          <w:szCs w:val="32"/>
          <w:lang w:val="en-US" w:eastAsia="zh-CN" w:bidi="ar"/>
        </w:rPr>
        <w:t>”</w:t>
      </w:r>
      <w:r>
        <w:rPr>
          <w:rFonts w:hint="eastAsia" w:ascii="仿宋_GB2312" w:hAnsi="Times New Roman" w:eastAsia="仿宋_GB2312" w:cs="仿宋_GB2312"/>
          <w:color w:val="auto"/>
          <w:kern w:val="0"/>
          <w:sz w:val="32"/>
          <w:szCs w:val="32"/>
          <w:lang w:val="en-US" w:eastAsia="zh-CN" w:bidi="ar"/>
        </w:rPr>
        <w:t>经费支出决算情况说明</w:t>
      </w:r>
    </w:p>
    <w:p>
      <w:pPr>
        <w:keepNext w:val="0"/>
        <w:keepLines w:val="0"/>
        <w:widowControl/>
        <w:suppressLineNumbers w:val="0"/>
        <w:adjustRightInd w:val="0"/>
        <w:snapToGrid w:val="0"/>
        <w:spacing w:before="0" w:beforeAutospacing="1" w:after="0" w:afterAutospacing="1" w:line="580" w:lineRule="exact"/>
        <w:ind w:left="0" w:right="0" w:firstLine="600"/>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1、财政拨款</w:t>
      </w:r>
      <w:r>
        <w:rPr>
          <w:rFonts w:hint="default" w:ascii="Times New Roman" w:hAnsi="Times New Roman" w:eastAsia="仿宋_GB2312" w:cs="Times New Roman"/>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三公</w:t>
      </w:r>
      <w:r>
        <w:rPr>
          <w:rFonts w:hint="default" w:ascii="Times New Roman" w:hAnsi="Times New Roman" w:eastAsia="仿宋_GB2312" w:cs="Times New Roman"/>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经费支出决算总体情况说明</w:t>
      </w:r>
    </w:p>
    <w:p>
      <w:pPr>
        <w:keepNext w:val="0"/>
        <w:keepLines w:val="0"/>
        <w:widowControl/>
        <w:suppressLineNumbers w:val="0"/>
        <w:adjustRightInd w:val="0"/>
        <w:snapToGrid w:val="0"/>
        <w:spacing w:before="0" w:beforeAutospacing="1" w:after="0" w:afterAutospacing="1" w:line="580" w:lineRule="exact"/>
        <w:ind w:left="0" w:right="0" w:firstLine="600"/>
        <w:jc w:val="left"/>
        <w:rPr>
          <w:rFonts w:hint="eastAsia" w:ascii="仿宋_GB2312" w:hAnsi="Times New Roman" w:eastAsia="仿宋_GB2312" w:cs="仿宋_GB2312"/>
          <w:color w:val="auto"/>
          <w:kern w:val="0"/>
          <w:sz w:val="32"/>
          <w:szCs w:val="32"/>
          <w:lang w:val="en-US" w:eastAsia="zh-CN" w:bidi="ar"/>
        </w:rPr>
      </w:pPr>
      <w:r>
        <w:rPr>
          <w:rFonts w:hint="default" w:ascii="仿宋_GB2312" w:hAnsi="Times New Roman" w:eastAsia="仿宋_GB2312" w:cs="仿宋_GB2312"/>
          <w:color w:val="auto"/>
          <w:kern w:val="0"/>
          <w:sz w:val="32"/>
          <w:szCs w:val="32"/>
          <w:lang w:val="en-US" w:eastAsia="zh-CN" w:bidi="ar"/>
        </w:rPr>
        <w:t>本部门2019年度财政拨款“三公”经费预算为105.44万元，支出决算为46.42万元，完成预算的44.00%，其中：因公出国（境）费预算为0.00万元，支出决算为0.00万元，完成预算的0.00%；公务用车购置及运行维护费预算为100.67万元，支出决算为45.02万元，完成预算的44.70%；公务接待费预算为4.77万元，支出决算为1.40万元，完成预算的29.40%。2019年度财政拨款“三公”经费支出决算与预算差异情况的原因：</w:t>
      </w:r>
      <w:r>
        <w:rPr>
          <w:rFonts w:hint="eastAsia" w:ascii="仿宋_GB2312" w:hAnsi="Times New Roman" w:eastAsia="仿宋_GB2312" w:cs="仿宋_GB2312"/>
          <w:color w:val="auto"/>
          <w:kern w:val="0"/>
          <w:sz w:val="32"/>
          <w:szCs w:val="32"/>
          <w:lang w:val="en-US" w:eastAsia="zh-CN" w:bidi="ar"/>
        </w:rPr>
        <w:t>财政对单位财务活动的控制和监督，单位加强财务管理，厉行节约，因此三工公经费相应减少。</w:t>
      </w:r>
    </w:p>
    <w:p>
      <w:pPr>
        <w:widowControl/>
        <w:snapToGrid w:val="0"/>
        <w:spacing w:line="360" w:lineRule="auto"/>
        <w:ind w:firstLine="800" w:firstLineChars="250"/>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2、财政拨款</w:t>
      </w:r>
      <w:r>
        <w:rPr>
          <w:rFonts w:hint="default" w:ascii="Times New Roman" w:hAnsi="Times New Roman" w:eastAsia="仿宋_GB2312" w:cs="Times New Roman"/>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三公</w:t>
      </w:r>
      <w:r>
        <w:rPr>
          <w:rFonts w:hint="default" w:ascii="Times New Roman" w:hAnsi="Times New Roman" w:eastAsia="仿宋_GB2312" w:cs="Times New Roman"/>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经费支出决算具体情况说明</w:t>
      </w:r>
    </w:p>
    <w:p>
      <w:pPr>
        <w:keepNext w:val="0"/>
        <w:keepLines w:val="0"/>
        <w:widowControl/>
        <w:suppressLineNumbers w:val="0"/>
        <w:adjustRightInd w:val="0"/>
        <w:snapToGrid w:val="0"/>
        <w:spacing w:before="0" w:beforeAutospacing="1" w:after="0" w:afterAutospacing="1" w:line="580" w:lineRule="exact"/>
        <w:ind w:left="0" w:right="0" w:firstLine="600"/>
        <w:jc w:val="left"/>
        <w:rPr>
          <w:rFonts w:hint="default" w:ascii="仿宋_GB2312" w:hAnsi="Times New Roman" w:eastAsia="仿宋_GB2312" w:cs="仿宋_GB2312"/>
          <w:color w:val="auto"/>
          <w:kern w:val="0"/>
          <w:sz w:val="32"/>
          <w:szCs w:val="32"/>
          <w:lang w:val="en-US" w:eastAsia="zh-CN" w:bidi="ar"/>
        </w:rPr>
      </w:pPr>
      <w:r>
        <w:rPr>
          <w:rFonts w:hint="default" w:ascii="仿宋_GB2312" w:hAnsi="Times New Roman" w:eastAsia="仿宋_GB2312" w:cs="仿宋_GB2312"/>
          <w:color w:val="auto"/>
          <w:kern w:val="0"/>
          <w:sz w:val="32"/>
          <w:szCs w:val="32"/>
          <w:lang w:val="en-US" w:eastAsia="zh-CN" w:bidi="ar"/>
        </w:rPr>
        <w:t>本部门2019年度财政拨款“三公”经费支出46.42万元，因公出国（境）费支出0.00万元，占0.00%；公务用车购置及运行维护费支出45.02万元，占97.00%；公务接待费支出1.40万元，占3.00%。具体情况如下：</w:t>
      </w:r>
    </w:p>
    <w:p>
      <w:pPr>
        <w:keepNext w:val="0"/>
        <w:keepLines w:val="0"/>
        <w:widowControl/>
        <w:suppressLineNumbers w:val="0"/>
        <w:adjustRightInd w:val="0"/>
        <w:snapToGrid w:val="0"/>
        <w:spacing w:before="0" w:beforeAutospacing="1" w:after="0" w:afterAutospacing="1" w:line="580" w:lineRule="exact"/>
        <w:ind w:left="0" w:right="0" w:firstLine="600"/>
        <w:jc w:val="left"/>
        <w:rPr>
          <w:rFonts w:hint="default" w:ascii="仿宋_GB2312" w:hAnsi="Times New Roman" w:eastAsia="仿宋_GB2312" w:cs="仿宋_GB2312"/>
          <w:color w:val="auto"/>
          <w:kern w:val="0"/>
          <w:sz w:val="32"/>
          <w:szCs w:val="32"/>
          <w:lang w:val="en-US" w:eastAsia="zh-CN" w:bidi="ar"/>
        </w:rPr>
      </w:pPr>
      <w:r>
        <w:rPr>
          <w:rFonts w:hint="default" w:ascii="仿宋_GB2312" w:hAnsi="Times New Roman" w:eastAsia="仿宋_GB2312" w:cs="仿宋_GB2312"/>
          <w:b/>
          <w:color w:val="auto"/>
          <w:kern w:val="0"/>
          <w:sz w:val="32"/>
          <w:szCs w:val="32"/>
          <w:lang w:val="en-US" w:eastAsia="zh-CN" w:bidi="ar"/>
        </w:rPr>
        <w:t>因公出国（境）费支出</w:t>
      </w:r>
      <w:r>
        <w:rPr>
          <w:rFonts w:hint="default" w:ascii="仿宋_GB2312" w:hAnsi="Times New Roman" w:eastAsia="仿宋_GB2312" w:cs="仿宋_GB2312"/>
          <w:color w:val="auto"/>
          <w:kern w:val="0"/>
          <w:sz w:val="32"/>
          <w:szCs w:val="32"/>
          <w:lang w:val="en-US" w:eastAsia="zh-CN" w:bidi="ar"/>
        </w:rPr>
        <w:t>0.00万元。全年因公出国（境）团组0个，累计0人次。较上年增加（减少）0.00万元</w:t>
      </w:r>
      <w:r>
        <w:rPr>
          <w:rFonts w:hint="eastAsia" w:ascii="仿宋_GB2312" w:hAnsi="Times New Roman" w:eastAsia="仿宋_GB2312" w:cs="仿宋_GB2312"/>
          <w:color w:val="auto"/>
          <w:kern w:val="0"/>
          <w:sz w:val="32"/>
          <w:szCs w:val="32"/>
          <w:lang w:val="en-US" w:eastAsia="zh-CN" w:bidi="ar"/>
        </w:rPr>
        <w:t>。</w:t>
      </w:r>
    </w:p>
    <w:p>
      <w:pPr>
        <w:keepNext w:val="0"/>
        <w:keepLines w:val="0"/>
        <w:widowControl/>
        <w:suppressLineNumbers w:val="0"/>
        <w:adjustRightInd w:val="0"/>
        <w:snapToGrid w:val="0"/>
        <w:spacing w:before="0" w:beforeAutospacing="1" w:after="0" w:afterAutospacing="1" w:line="580" w:lineRule="exact"/>
        <w:ind w:left="0" w:right="0" w:firstLine="600"/>
        <w:jc w:val="left"/>
        <w:rPr>
          <w:rFonts w:hint="default" w:ascii="仿宋_GB2312" w:hAnsi="Times New Roman" w:eastAsia="仿宋_GB2312" w:cs="仿宋_GB2312"/>
          <w:color w:val="auto"/>
          <w:kern w:val="0"/>
          <w:sz w:val="32"/>
          <w:szCs w:val="32"/>
          <w:lang w:val="en-US" w:eastAsia="zh-CN" w:bidi="ar"/>
        </w:rPr>
      </w:pPr>
      <w:r>
        <w:rPr>
          <w:rFonts w:hint="default" w:ascii="仿宋_GB2312" w:hAnsi="Times New Roman" w:eastAsia="仿宋_GB2312" w:cs="仿宋_GB2312"/>
          <w:b/>
          <w:color w:val="auto"/>
          <w:kern w:val="0"/>
          <w:sz w:val="32"/>
          <w:szCs w:val="32"/>
          <w:lang w:val="en-US" w:eastAsia="zh-CN" w:bidi="ar"/>
        </w:rPr>
        <w:t>公务用车购置及运行维护费支出</w:t>
      </w:r>
      <w:r>
        <w:rPr>
          <w:rFonts w:hint="default" w:ascii="仿宋_GB2312" w:hAnsi="Times New Roman" w:eastAsia="仿宋_GB2312" w:cs="仿宋_GB2312"/>
          <w:color w:val="auto"/>
          <w:kern w:val="0"/>
          <w:sz w:val="32"/>
          <w:szCs w:val="32"/>
          <w:lang w:val="en-US" w:eastAsia="zh-CN" w:bidi="ar"/>
        </w:rPr>
        <w:t>45.02万元。其中：公务用车购置支出0.00万元，车均购置费0.00万元，较上年减少26.26万元，公务用车运行维护费支出45.02万元，</w:t>
      </w:r>
      <w:r>
        <w:rPr>
          <w:rFonts w:hint="eastAsia" w:ascii="仿宋_GB2312" w:hAnsi="Times New Roman" w:eastAsia="仿宋_GB2312" w:cs="仿宋_GB2312"/>
          <w:color w:val="auto"/>
          <w:kern w:val="0"/>
          <w:sz w:val="32"/>
          <w:szCs w:val="32"/>
          <w:lang w:val="en-US" w:eastAsia="zh-CN" w:bidi="ar"/>
        </w:rPr>
        <w:t>用于下乡车辆燃油、维修等费，</w:t>
      </w:r>
      <w:r>
        <w:rPr>
          <w:rFonts w:hint="default" w:ascii="仿宋_GB2312" w:hAnsi="Times New Roman" w:eastAsia="仿宋_GB2312" w:cs="仿宋_GB2312"/>
          <w:color w:val="auto"/>
          <w:kern w:val="0"/>
          <w:sz w:val="32"/>
          <w:szCs w:val="32"/>
          <w:lang w:val="en-US" w:eastAsia="zh-CN" w:bidi="ar"/>
        </w:rPr>
        <w:t>车均运维费2.37万元，较上年减少6.52万元，主要原因是</w:t>
      </w:r>
      <w:r>
        <w:rPr>
          <w:rFonts w:hint="eastAsia" w:ascii="仿宋_GB2312" w:hAnsi="Times New Roman" w:eastAsia="仿宋_GB2312" w:cs="仿宋_GB2312"/>
          <w:color w:val="auto"/>
          <w:kern w:val="0"/>
          <w:sz w:val="32"/>
          <w:szCs w:val="32"/>
          <w:lang w:val="en-US" w:eastAsia="zh-CN" w:bidi="ar"/>
        </w:rPr>
        <w:t>单位加强财务管理，厉行节约</w:t>
      </w:r>
      <w:r>
        <w:rPr>
          <w:rFonts w:hint="default" w:ascii="仿宋_GB2312" w:hAnsi="Times New Roman" w:eastAsia="仿宋_GB2312" w:cs="仿宋_GB2312"/>
          <w:color w:val="auto"/>
          <w:kern w:val="0"/>
          <w:sz w:val="32"/>
          <w:szCs w:val="32"/>
          <w:lang w:val="en-US" w:eastAsia="zh-CN" w:bidi="ar"/>
        </w:rPr>
        <w:t>，</w:t>
      </w:r>
      <w:r>
        <w:rPr>
          <w:rFonts w:hint="eastAsia" w:ascii="仿宋_GB2312" w:hAnsi="Times New Roman" w:eastAsia="仿宋_GB2312" w:cs="仿宋_GB2312"/>
          <w:color w:val="auto"/>
          <w:kern w:val="0"/>
          <w:sz w:val="32"/>
          <w:szCs w:val="32"/>
          <w:lang w:val="en-US" w:eastAsia="zh-CN" w:bidi="ar"/>
        </w:rPr>
        <w:t>公务用车购置及维护费相应减少，</w:t>
      </w:r>
      <w:r>
        <w:rPr>
          <w:rFonts w:hint="default" w:ascii="仿宋_GB2312" w:hAnsi="Times New Roman" w:eastAsia="仿宋_GB2312" w:cs="仿宋_GB2312"/>
          <w:color w:val="auto"/>
          <w:kern w:val="0"/>
          <w:sz w:val="32"/>
          <w:szCs w:val="32"/>
          <w:lang w:val="en-US" w:eastAsia="zh-CN" w:bidi="ar"/>
        </w:rPr>
        <w:t>财政拨款开支的公务用车保有量为19辆。</w:t>
      </w:r>
    </w:p>
    <w:p>
      <w:pPr>
        <w:widowControl/>
        <w:adjustRightInd w:val="0"/>
        <w:snapToGrid w:val="0"/>
        <w:spacing w:before="100" w:beforeAutospacing="1" w:after="100" w:afterAutospacing="1" w:line="580" w:lineRule="exact"/>
        <w:ind w:firstLine="600"/>
        <w:jc w:val="left"/>
        <w:rPr>
          <w:rFonts w:hint="default" w:ascii="仿宋_GB2312" w:hAnsi="Times New Roman" w:eastAsia="仿宋_GB2312" w:cs="仿宋_GB2312"/>
          <w:color w:val="auto"/>
          <w:kern w:val="0"/>
          <w:sz w:val="32"/>
          <w:szCs w:val="32"/>
          <w:lang w:val="en-US" w:eastAsia="zh-CN" w:bidi="ar"/>
        </w:rPr>
      </w:pPr>
      <w:r>
        <w:rPr>
          <w:rFonts w:hint="default" w:ascii="仿宋_GB2312" w:hAnsi="Times New Roman" w:eastAsia="仿宋_GB2312" w:cs="仿宋_GB2312"/>
          <w:b/>
          <w:color w:val="auto"/>
          <w:kern w:val="0"/>
          <w:sz w:val="32"/>
          <w:szCs w:val="32"/>
          <w:lang w:val="en-US" w:eastAsia="zh-CN" w:bidi="ar"/>
        </w:rPr>
        <w:t>公务接待费支出</w:t>
      </w:r>
      <w:r>
        <w:rPr>
          <w:rFonts w:hint="default" w:ascii="仿宋_GB2312" w:hAnsi="Times New Roman" w:eastAsia="仿宋_GB2312" w:cs="仿宋_GB2312"/>
          <w:color w:val="auto"/>
          <w:kern w:val="0"/>
          <w:sz w:val="32"/>
          <w:szCs w:val="32"/>
          <w:lang w:val="en-US" w:eastAsia="zh-CN" w:bidi="ar"/>
        </w:rPr>
        <w:t>1.40万元。其中：国内公务接待费1.40万元，接待36批次，共接待92人次。较上年</w:t>
      </w:r>
      <w:r>
        <w:rPr>
          <w:rFonts w:hint="eastAsia" w:ascii="仿宋_GB2312" w:hAnsi="Times New Roman" w:eastAsia="仿宋_GB2312" w:cs="仿宋_GB2312"/>
          <w:color w:val="auto"/>
          <w:kern w:val="0"/>
          <w:sz w:val="32"/>
          <w:szCs w:val="32"/>
          <w:lang w:val="en-US" w:eastAsia="zh-CN" w:bidi="ar"/>
        </w:rPr>
        <w:t>增加</w:t>
      </w:r>
      <w:r>
        <w:rPr>
          <w:rFonts w:hint="default" w:ascii="仿宋_GB2312" w:hAnsi="Times New Roman" w:eastAsia="仿宋_GB2312" w:cs="仿宋_GB2312"/>
          <w:color w:val="auto"/>
          <w:kern w:val="0"/>
          <w:sz w:val="32"/>
          <w:szCs w:val="32"/>
          <w:lang w:val="en-US" w:eastAsia="zh-CN" w:bidi="ar"/>
        </w:rPr>
        <w:t>0.52万元，主要原因是</w:t>
      </w:r>
      <w:r>
        <w:rPr>
          <w:rFonts w:hint="eastAsia" w:ascii="仿宋_GB2312" w:hAnsi="Times New Roman" w:eastAsia="仿宋_GB2312" w:cs="仿宋_GB2312"/>
          <w:color w:val="auto"/>
          <w:kern w:val="0"/>
          <w:sz w:val="32"/>
          <w:szCs w:val="32"/>
          <w:lang w:val="en-US" w:eastAsia="zh-CN" w:bidi="ar"/>
        </w:rPr>
        <w:t>主要用于上级部门领导下来检查指导工作。国（境）外接待费0.00万元，接待0批次，共接待0人次，主要原因是本单位未发生国外接待业务。</w:t>
      </w:r>
    </w:p>
    <w:p>
      <w:pPr>
        <w:keepNext w:val="0"/>
        <w:keepLines w:val="0"/>
        <w:widowControl/>
        <w:suppressLineNumbers w:val="0"/>
        <w:adjustRightInd w:val="0"/>
        <w:snapToGrid w:val="0"/>
        <w:spacing w:before="0" w:beforeAutospacing="1" w:after="0" w:afterAutospacing="1" w:line="580" w:lineRule="exact"/>
        <w:ind w:left="0" w:right="0" w:firstLine="600"/>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三、预算绩效情况说明</w:t>
      </w:r>
    </w:p>
    <w:p>
      <w:pPr>
        <w:keepNext w:val="0"/>
        <w:keepLines w:val="0"/>
        <w:widowControl/>
        <w:suppressLineNumbers w:val="0"/>
        <w:adjustRightInd w:val="0"/>
        <w:snapToGrid w:val="0"/>
        <w:spacing w:before="0" w:beforeAutospacing="1" w:after="0" w:afterAutospacing="1" w:line="580" w:lineRule="exact"/>
        <w:ind w:left="0" w:right="0" w:firstLine="600"/>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（一）预算绩效管理工作开展情况</w:t>
      </w:r>
    </w:p>
    <w:p>
      <w:pPr>
        <w:keepNext w:val="0"/>
        <w:keepLines w:val="0"/>
        <w:widowControl/>
        <w:suppressLineNumbers w:val="0"/>
        <w:adjustRightInd w:val="0"/>
        <w:snapToGrid w:val="0"/>
        <w:spacing w:before="0" w:beforeAutospacing="1" w:after="0" w:afterAutospacing="1" w:line="580" w:lineRule="exact"/>
        <w:ind w:left="0" w:right="0" w:firstLine="600"/>
        <w:jc w:val="left"/>
        <w:rPr>
          <w:rFonts w:hint="default" w:ascii="仿宋_GB2312" w:hAnsi="Times New Roman" w:eastAsia="仿宋_GB2312" w:cs="仿宋_GB2312"/>
          <w:color w:val="auto"/>
          <w:kern w:val="0"/>
          <w:sz w:val="32"/>
          <w:szCs w:val="32"/>
          <w:lang w:val="en-US" w:eastAsia="zh-CN" w:bidi="ar"/>
        </w:rPr>
      </w:pPr>
      <w:r>
        <w:rPr>
          <w:rFonts w:hint="eastAsia" w:ascii="仿宋_GB2312" w:hAnsi="Times New Roman" w:eastAsia="仿宋_GB2312" w:cs="仿宋_GB2312"/>
          <w:color w:val="auto"/>
          <w:kern w:val="0"/>
          <w:sz w:val="32"/>
          <w:szCs w:val="32"/>
          <w:lang w:val="en-US" w:eastAsia="zh-CN" w:bidi="ar"/>
        </w:rPr>
        <w:t>2019年政府性基金预算财政拨款为2520万元，其中：1、《呼伦贝尔市城市总体规划（2012-2030年）（2017年修改）》项目2019-2021年预算中期规划财政拨款120万元；2、《呼伦贝尔市中心城区“城市双修”总体统筹与行动规划》2019-2021预算中期规划财政拨款1040万元；3、《呼伦贝尔市中心城区海拉尔区老城区控制性详细规划及城市设计》2019-2021预算中期规划财政拨款1360万元。根据《中华人民共和国城乡规划法》和《内蒙古自治区城乡规划条例》要求，按照市委、市政府工作部署2016年12月市政府启动了《呼伦贝尔市城市总体规划（2012-2030年）》实施评估及修改工作，此项目时限为2017-2019年；自2017年3月，我市中心城区被住建部列为国家第二批“城市双修”试点城市，市委市政府将“城市双修”作为推动供给侧结构性改革的主要任务，按照市政府的工作安排，2017年5月，我市启动《呼伦贝尔市中心城区“城市双修”总体统筹与行动规划》及相关专项规划编制工作，此项目时限为2018-2020年；依据《中华人民共和国城乡规划法》相关规定及《中共中央国务院关于进一步加强城市规划建设管理工作的若干意见》“控制性详细规划市规划实施的基础，未编制控制性详细规划的区域，不得进行建设”的要求，按照市政府的工作安排，我市与2018年 1月启动《呼伦贝尔市中心城区海拉尔区老城区控制性详细规划及城市设计》规划的编制工作，此项目时限为2018-2020年。</w:t>
      </w:r>
    </w:p>
    <w:p>
      <w:pPr>
        <w:keepNext w:val="0"/>
        <w:keepLines w:val="0"/>
        <w:widowControl/>
        <w:numPr>
          <w:ilvl w:val="0"/>
          <w:numId w:val="1"/>
        </w:numPr>
        <w:suppressLineNumbers w:val="0"/>
        <w:adjustRightInd w:val="0"/>
        <w:snapToGrid w:val="0"/>
        <w:spacing w:before="0" w:beforeAutospacing="1" w:after="0" w:afterAutospacing="1" w:line="580" w:lineRule="exact"/>
        <w:ind w:left="0" w:right="0" w:firstLine="600"/>
        <w:jc w:val="left"/>
        <w:rPr>
          <w:rFonts w:hint="default" w:ascii="仿宋_GB2312" w:hAnsi="Times New Roman" w:eastAsia="仿宋_GB2312" w:cs="仿宋_GB2312"/>
          <w:color w:val="auto"/>
          <w:kern w:val="0"/>
          <w:sz w:val="32"/>
          <w:szCs w:val="32"/>
          <w:lang w:val="en-US" w:eastAsia="zh-CN" w:bidi="ar"/>
        </w:rPr>
      </w:pPr>
      <w:r>
        <w:rPr>
          <w:rFonts w:hint="default" w:ascii="仿宋_GB2312" w:hAnsi="Times New Roman" w:eastAsia="仿宋_GB2312" w:cs="仿宋_GB2312"/>
          <w:color w:val="auto"/>
          <w:kern w:val="0"/>
          <w:sz w:val="32"/>
          <w:szCs w:val="32"/>
          <w:lang w:val="en-US" w:eastAsia="zh-CN" w:bidi="ar"/>
        </w:rPr>
        <w:t>部门决算中项目绩效自评结果</w:t>
      </w:r>
    </w:p>
    <w:p>
      <w:pPr>
        <w:keepNext w:val="0"/>
        <w:keepLines w:val="0"/>
        <w:widowControl/>
        <w:suppressLineNumbers w:val="0"/>
        <w:adjustRightInd w:val="0"/>
        <w:snapToGrid w:val="0"/>
        <w:spacing w:before="0" w:beforeAutospacing="1" w:after="0" w:afterAutospacing="1" w:line="580" w:lineRule="exact"/>
        <w:ind w:left="0" w:right="0" w:firstLine="600"/>
        <w:jc w:val="left"/>
        <w:rPr>
          <w:rFonts w:hint="eastAsia" w:ascii="仿宋_GB2312" w:hAnsi="Times New Roman" w:eastAsia="仿宋_GB2312" w:cs="仿宋_GB2312"/>
          <w:color w:val="auto"/>
          <w:kern w:val="0"/>
          <w:sz w:val="32"/>
          <w:szCs w:val="32"/>
          <w:lang w:val="en-US" w:eastAsia="zh-CN" w:bidi="ar"/>
        </w:rPr>
      </w:pPr>
      <w:r>
        <w:rPr>
          <w:rFonts w:hint="eastAsia" w:ascii="仿宋_GB2312" w:hAnsi="Times New Roman" w:eastAsia="仿宋_GB2312" w:cs="仿宋_GB2312"/>
          <w:color w:val="auto"/>
          <w:kern w:val="0"/>
          <w:sz w:val="32"/>
          <w:szCs w:val="32"/>
          <w:lang w:val="en-US" w:eastAsia="zh-CN" w:bidi="ar"/>
        </w:rPr>
        <w:t>现设计单位已完成《呼伦贝尔市城市总体规划（2012-2030年）按照市政府的工作安排，</w:t>
      </w:r>
    </w:p>
    <w:tbl>
      <w:tblPr>
        <w:tblStyle w:val="4"/>
        <w:tblW w:w="9543" w:type="dxa"/>
        <w:tblInd w:w="-784" w:type="dxa"/>
        <w:shd w:val="clear" w:color="auto" w:fill="auto"/>
        <w:tblLayout w:type="autofit"/>
        <w:tblCellMar>
          <w:top w:w="0" w:type="dxa"/>
          <w:left w:w="0" w:type="dxa"/>
          <w:bottom w:w="0" w:type="dxa"/>
          <w:right w:w="0" w:type="dxa"/>
        </w:tblCellMar>
      </w:tblPr>
      <w:tblGrid>
        <w:gridCol w:w="940"/>
        <w:gridCol w:w="210"/>
        <w:gridCol w:w="210"/>
        <w:gridCol w:w="714"/>
        <w:gridCol w:w="1516"/>
        <w:gridCol w:w="387"/>
        <w:gridCol w:w="387"/>
        <w:gridCol w:w="567"/>
        <w:gridCol w:w="413"/>
        <w:gridCol w:w="242"/>
        <w:gridCol w:w="395"/>
        <w:gridCol w:w="356"/>
        <w:gridCol w:w="737"/>
        <w:gridCol w:w="567"/>
        <w:gridCol w:w="675"/>
        <w:gridCol w:w="1227"/>
      </w:tblGrid>
      <w:tr>
        <w:tblPrEx>
          <w:tblCellMar>
            <w:top w:w="0" w:type="dxa"/>
            <w:left w:w="0" w:type="dxa"/>
            <w:bottom w:w="0" w:type="dxa"/>
            <w:right w:w="0" w:type="dxa"/>
          </w:tblCellMar>
        </w:tblPrEx>
        <w:trPr>
          <w:trHeight w:val="405" w:hRule="atLeast"/>
        </w:trPr>
        <w:tc>
          <w:tcPr>
            <w:tcW w:w="9543" w:type="dxa"/>
            <w:gridSpan w:val="16"/>
            <w:tcBorders>
              <w:top w:val="nil"/>
              <w:left w:val="nil"/>
              <w:bottom w:val="nil"/>
              <w:right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monospace" w:hAnsi="monospace" w:eastAsia="monospace" w:cs="monospace"/>
                <w:b/>
                <w:i w:val="0"/>
                <w:color w:val="auto"/>
                <w:sz w:val="32"/>
                <w:szCs w:val="32"/>
                <w:u w:val="none"/>
              </w:rPr>
            </w:pPr>
            <w:r>
              <w:rPr>
                <w:rFonts w:hint="default" w:ascii="monospace" w:hAnsi="monospace" w:eastAsia="monospace" w:cs="monospace"/>
                <w:b/>
                <w:i w:val="0"/>
                <w:color w:val="auto"/>
                <w:kern w:val="0"/>
                <w:sz w:val="32"/>
                <w:szCs w:val="32"/>
                <w:u w:val="none"/>
                <w:lang w:val="en-US" w:eastAsia="zh-CN" w:bidi="ar"/>
              </w:rPr>
              <w:t>2019年财政资金绩效评价自评信息表</w:t>
            </w:r>
          </w:p>
        </w:tc>
      </w:tr>
      <w:tr>
        <w:tblPrEx>
          <w:shd w:val="clear" w:color="auto" w:fill="auto"/>
          <w:tblCellMar>
            <w:top w:w="0" w:type="dxa"/>
            <w:left w:w="0" w:type="dxa"/>
            <w:bottom w:w="0" w:type="dxa"/>
            <w:right w:w="0" w:type="dxa"/>
          </w:tblCellMar>
        </w:tblPrEx>
        <w:trPr>
          <w:trHeight w:val="207" w:hRule="atLeast"/>
        </w:trPr>
        <w:tc>
          <w:tcPr>
            <w:tcW w:w="994" w:type="dxa"/>
            <w:tcBorders>
              <w:top w:val="nil"/>
              <w:left w:val="nil"/>
              <w:bottom w:val="nil"/>
              <w:right w:val="nil"/>
            </w:tcBorders>
            <w:shd w:val="clear" w:color="auto" w:fill="auto"/>
            <w:tcMar>
              <w:top w:w="15" w:type="dxa"/>
              <w:left w:w="15" w:type="dxa"/>
              <w:right w:w="15" w:type="dxa"/>
            </w:tcMar>
            <w:vAlign w:val="center"/>
          </w:tcPr>
          <w:p>
            <w:pPr>
              <w:rPr>
                <w:rFonts w:hint="eastAsia" w:ascii="宋体" w:hAnsi="宋体" w:eastAsia="宋体" w:cs="宋体"/>
                <w:i w:val="0"/>
                <w:color w:val="auto"/>
                <w:sz w:val="24"/>
                <w:szCs w:val="24"/>
                <w:u w:val="none"/>
              </w:rPr>
            </w:pPr>
          </w:p>
        </w:tc>
        <w:tc>
          <w:tcPr>
            <w:tcW w:w="210" w:type="dxa"/>
            <w:tcBorders>
              <w:top w:val="nil"/>
              <w:left w:val="nil"/>
              <w:bottom w:val="nil"/>
              <w:right w:val="nil"/>
            </w:tcBorders>
            <w:shd w:val="clear" w:color="auto" w:fill="auto"/>
            <w:tcMar>
              <w:top w:w="15" w:type="dxa"/>
              <w:left w:w="15" w:type="dxa"/>
              <w:right w:w="15" w:type="dxa"/>
            </w:tcMar>
            <w:vAlign w:val="center"/>
          </w:tcPr>
          <w:p>
            <w:pPr>
              <w:rPr>
                <w:rFonts w:hint="eastAsia" w:ascii="宋体" w:hAnsi="宋体" w:eastAsia="宋体" w:cs="宋体"/>
                <w:i w:val="0"/>
                <w:color w:val="auto"/>
                <w:sz w:val="24"/>
                <w:szCs w:val="24"/>
                <w:u w:val="none"/>
              </w:rPr>
            </w:pPr>
          </w:p>
        </w:tc>
        <w:tc>
          <w:tcPr>
            <w:tcW w:w="210" w:type="dxa"/>
            <w:tcBorders>
              <w:top w:val="nil"/>
              <w:left w:val="nil"/>
              <w:bottom w:val="nil"/>
              <w:right w:val="nil"/>
            </w:tcBorders>
            <w:shd w:val="clear" w:color="auto" w:fill="auto"/>
            <w:tcMar>
              <w:top w:w="15" w:type="dxa"/>
              <w:left w:w="15" w:type="dxa"/>
              <w:right w:w="15" w:type="dxa"/>
            </w:tcMar>
            <w:vAlign w:val="center"/>
          </w:tcPr>
          <w:p>
            <w:pPr>
              <w:rPr>
                <w:rFonts w:hint="eastAsia" w:ascii="宋体" w:hAnsi="宋体" w:eastAsia="宋体" w:cs="宋体"/>
                <w:i w:val="0"/>
                <w:color w:val="auto"/>
                <w:sz w:val="24"/>
                <w:szCs w:val="24"/>
                <w:u w:val="none"/>
              </w:rPr>
            </w:pPr>
          </w:p>
        </w:tc>
        <w:tc>
          <w:tcPr>
            <w:tcW w:w="714" w:type="dxa"/>
            <w:tcBorders>
              <w:top w:val="nil"/>
              <w:left w:val="nil"/>
              <w:bottom w:val="nil"/>
              <w:right w:val="nil"/>
            </w:tcBorders>
            <w:shd w:val="clear" w:color="auto" w:fill="auto"/>
            <w:tcMar>
              <w:top w:w="15" w:type="dxa"/>
              <w:left w:w="15" w:type="dxa"/>
              <w:right w:w="15" w:type="dxa"/>
            </w:tcMar>
            <w:vAlign w:val="center"/>
          </w:tcPr>
          <w:p>
            <w:pPr>
              <w:rPr>
                <w:rFonts w:hint="eastAsia" w:ascii="宋体" w:hAnsi="宋体" w:eastAsia="宋体" w:cs="宋体"/>
                <w:i w:val="0"/>
                <w:color w:val="auto"/>
                <w:sz w:val="24"/>
                <w:szCs w:val="24"/>
                <w:u w:val="none"/>
              </w:rPr>
            </w:pPr>
          </w:p>
        </w:tc>
        <w:tc>
          <w:tcPr>
            <w:tcW w:w="1516" w:type="dxa"/>
            <w:tcBorders>
              <w:top w:val="nil"/>
              <w:left w:val="nil"/>
              <w:bottom w:val="nil"/>
              <w:right w:val="nil"/>
            </w:tcBorders>
            <w:shd w:val="clear" w:color="auto" w:fill="auto"/>
            <w:tcMar>
              <w:top w:w="15" w:type="dxa"/>
              <w:left w:w="15" w:type="dxa"/>
              <w:right w:w="15" w:type="dxa"/>
            </w:tcMar>
            <w:vAlign w:val="center"/>
          </w:tcPr>
          <w:p>
            <w:pPr>
              <w:rPr>
                <w:rFonts w:hint="eastAsia" w:ascii="宋体" w:hAnsi="宋体" w:eastAsia="宋体" w:cs="宋体"/>
                <w:i w:val="0"/>
                <w:color w:val="auto"/>
                <w:sz w:val="24"/>
                <w:szCs w:val="24"/>
                <w:u w:val="none"/>
              </w:rPr>
            </w:pPr>
          </w:p>
        </w:tc>
        <w:tc>
          <w:tcPr>
            <w:tcW w:w="390" w:type="dxa"/>
            <w:tcBorders>
              <w:top w:val="nil"/>
              <w:left w:val="nil"/>
              <w:bottom w:val="nil"/>
              <w:right w:val="nil"/>
            </w:tcBorders>
            <w:shd w:val="clear" w:color="auto" w:fill="auto"/>
            <w:tcMar>
              <w:top w:w="15" w:type="dxa"/>
              <w:left w:w="15" w:type="dxa"/>
              <w:right w:w="15" w:type="dxa"/>
            </w:tcMar>
            <w:vAlign w:val="center"/>
          </w:tcPr>
          <w:p>
            <w:pPr>
              <w:rPr>
                <w:rFonts w:hint="eastAsia" w:ascii="宋体" w:hAnsi="宋体" w:eastAsia="宋体" w:cs="宋体"/>
                <w:i w:val="0"/>
                <w:color w:val="auto"/>
                <w:sz w:val="24"/>
                <w:szCs w:val="24"/>
                <w:u w:val="none"/>
              </w:rPr>
            </w:pPr>
          </w:p>
        </w:tc>
        <w:tc>
          <w:tcPr>
            <w:tcW w:w="390" w:type="dxa"/>
            <w:tcBorders>
              <w:top w:val="nil"/>
              <w:left w:val="nil"/>
              <w:bottom w:val="nil"/>
              <w:right w:val="nil"/>
            </w:tcBorders>
            <w:shd w:val="clear" w:color="auto" w:fill="auto"/>
            <w:tcMar>
              <w:top w:w="15" w:type="dxa"/>
              <w:left w:w="15" w:type="dxa"/>
              <w:right w:w="15" w:type="dxa"/>
            </w:tcMar>
            <w:vAlign w:val="center"/>
          </w:tcPr>
          <w:p>
            <w:pPr>
              <w:rPr>
                <w:rFonts w:hint="eastAsia" w:ascii="宋体" w:hAnsi="宋体" w:eastAsia="宋体" w:cs="宋体"/>
                <w:i w:val="0"/>
                <w:color w:val="auto"/>
                <w:sz w:val="24"/>
                <w:szCs w:val="24"/>
                <w:u w:val="none"/>
              </w:rPr>
            </w:pPr>
          </w:p>
        </w:tc>
        <w:tc>
          <w:tcPr>
            <w:tcW w:w="570" w:type="dxa"/>
            <w:tcBorders>
              <w:top w:val="nil"/>
              <w:left w:val="nil"/>
              <w:bottom w:val="nil"/>
              <w:right w:val="nil"/>
            </w:tcBorders>
            <w:shd w:val="clear" w:color="auto" w:fill="auto"/>
            <w:tcMar>
              <w:top w:w="15" w:type="dxa"/>
              <w:left w:w="15" w:type="dxa"/>
              <w:right w:w="15" w:type="dxa"/>
            </w:tcMar>
            <w:vAlign w:val="center"/>
          </w:tcPr>
          <w:p>
            <w:pPr>
              <w:rPr>
                <w:rFonts w:hint="eastAsia" w:ascii="宋体" w:hAnsi="宋体" w:eastAsia="宋体" w:cs="宋体"/>
                <w:i w:val="0"/>
                <w:color w:val="auto"/>
                <w:sz w:val="24"/>
                <w:szCs w:val="24"/>
                <w:u w:val="none"/>
              </w:rPr>
            </w:pPr>
          </w:p>
        </w:tc>
        <w:tc>
          <w:tcPr>
            <w:tcW w:w="388" w:type="dxa"/>
            <w:tcBorders>
              <w:top w:val="nil"/>
              <w:left w:val="nil"/>
              <w:bottom w:val="nil"/>
              <w:right w:val="nil"/>
            </w:tcBorders>
            <w:shd w:val="clear" w:color="auto" w:fill="auto"/>
            <w:tcMar>
              <w:top w:w="15" w:type="dxa"/>
              <w:left w:w="15" w:type="dxa"/>
              <w:right w:w="15" w:type="dxa"/>
            </w:tcMar>
            <w:vAlign w:val="center"/>
          </w:tcPr>
          <w:p>
            <w:pPr>
              <w:rPr>
                <w:rFonts w:hint="eastAsia" w:ascii="宋体" w:hAnsi="宋体" w:eastAsia="宋体" w:cs="宋体"/>
                <w:i w:val="0"/>
                <w:color w:val="auto"/>
                <w:sz w:val="24"/>
                <w:szCs w:val="24"/>
                <w:u w:val="none"/>
              </w:rPr>
            </w:pPr>
          </w:p>
        </w:tc>
        <w:tc>
          <w:tcPr>
            <w:tcW w:w="244" w:type="dxa"/>
            <w:tcBorders>
              <w:top w:val="nil"/>
              <w:left w:val="nil"/>
              <w:bottom w:val="nil"/>
              <w:right w:val="nil"/>
            </w:tcBorders>
            <w:shd w:val="clear" w:color="auto" w:fill="auto"/>
            <w:tcMar>
              <w:top w:w="15" w:type="dxa"/>
              <w:left w:w="15" w:type="dxa"/>
              <w:right w:w="15" w:type="dxa"/>
            </w:tcMar>
            <w:vAlign w:val="center"/>
          </w:tcPr>
          <w:p>
            <w:pPr>
              <w:rPr>
                <w:rFonts w:hint="eastAsia" w:ascii="宋体" w:hAnsi="宋体" w:eastAsia="宋体" w:cs="宋体"/>
                <w:i w:val="0"/>
                <w:color w:val="auto"/>
                <w:sz w:val="24"/>
                <w:szCs w:val="24"/>
                <w:u w:val="none"/>
              </w:rPr>
            </w:pPr>
          </w:p>
        </w:tc>
        <w:tc>
          <w:tcPr>
            <w:tcW w:w="388" w:type="dxa"/>
            <w:tcBorders>
              <w:top w:val="nil"/>
              <w:left w:val="nil"/>
              <w:bottom w:val="nil"/>
              <w:right w:val="nil"/>
            </w:tcBorders>
            <w:shd w:val="clear" w:color="auto" w:fill="auto"/>
            <w:tcMar>
              <w:top w:w="15" w:type="dxa"/>
              <w:left w:w="15" w:type="dxa"/>
              <w:right w:w="15" w:type="dxa"/>
            </w:tcMar>
            <w:vAlign w:val="center"/>
          </w:tcPr>
          <w:p>
            <w:pPr>
              <w:rPr>
                <w:rFonts w:hint="eastAsia" w:ascii="宋体" w:hAnsi="宋体" w:eastAsia="宋体" w:cs="宋体"/>
                <w:i w:val="0"/>
                <w:color w:val="auto"/>
                <w:sz w:val="24"/>
                <w:szCs w:val="24"/>
                <w:u w:val="none"/>
              </w:rPr>
            </w:pPr>
          </w:p>
        </w:tc>
        <w:tc>
          <w:tcPr>
            <w:tcW w:w="360" w:type="dxa"/>
            <w:tcBorders>
              <w:top w:val="nil"/>
              <w:left w:val="nil"/>
              <w:bottom w:val="nil"/>
              <w:right w:val="nil"/>
            </w:tcBorders>
            <w:shd w:val="clear" w:color="auto" w:fill="auto"/>
            <w:tcMar>
              <w:top w:w="15" w:type="dxa"/>
              <w:left w:w="15" w:type="dxa"/>
              <w:right w:w="15" w:type="dxa"/>
            </w:tcMar>
            <w:vAlign w:val="center"/>
          </w:tcPr>
          <w:p>
            <w:pPr>
              <w:rPr>
                <w:rFonts w:hint="eastAsia" w:ascii="宋体" w:hAnsi="宋体" w:eastAsia="宋体" w:cs="宋体"/>
                <w:i w:val="0"/>
                <w:color w:val="auto"/>
                <w:sz w:val="24"/>
                <w:szCs w:val="24"/>
                <w:u w:val="none"/>
              </w:rPr>
            </w:pPr>
          </w:p>
        </w:tc>
        <w:tc>
          <w:tcPr>
            <w:tcW w:w="660" w:type="dxa"/>
            <w:tcBorders>
              <w:top w:val="nil"/>
              <w:left w:val="nil"/>
              <w:bottom w:val="nil"/>
              <w:right w:val="nil"/>
            </w:tcBorders>
            <w:shd w:val="clear" w:color="auto" w:fill="auto"/>
            <w:tcMar>
              <w:top w:w="15" w:type="dxa"/>
              <w:left w:w="15" w:type="dxa"/>
              <w:right w:w="15" w:type="dxa"/>
            </w:tcMar>
            <w:vAlign w:val="center"/>
          </w:tcPr>
          <w:p>
            <w:pPr>
              <w:rPr>
                <w:rFonts w:hint="eastAsia" w:ascii="宋体" w:hAnsi="宋体" w:eastAsia="宋体" w:cs="宋体"/>
                <w:i w:val="0"/>
                <w:color w:val="auto"/>
                <w:sz w:val="24"/>
                <w:szCs w:val="24"/>
                <w:u w:val="none"/>
              </w:rPr>
            </w:pPr>
          </w:p>
        </w:tc>
        <w:tc>
          <w:tcPr>
            <w:tcW w:w="570" w:type="dxa"/>
            <w:tcBorders>
              <w:top w:val="nil"/>
              <w:left w:val="nil"/>
              <w:bottom w:val="nil"/>
              <w:right w:val="nil"/>
            </w:tcBorders>
            <w:shd w:val="clear" w:color="auto" w:fill="auto"/>
            <w:tcMar>
              <w:top w:w="15" w:type="dxa"/>
              <w:left w:w="15" w:type="dxa"/>
              <w:right w:w="15" w:type="dxa"/>
            </w:tcMar>
            <w:vAlign w:val="center"/>
          </w:tcPr>
          <w:p>
            <w:pPr>
              <w:rPr>
                <w:rFonts w:hint="eastAsia" w:ascii="宋体" w:hAnsi="宋体" w:eastAsia="宋体" w:cs="宋体"/>
                <w:i w:val="0"/>
                <w:color w:val="auto"/>
                <w:sz w:val="24"/>
                <w:szCs w:val="24"/>
                <w:u w:val="none"/>
              </w:rPr>
            </w:pPr>
          </w:p>
        </w:tc>
        <w:tc>
          <w:tcPr>
            <w:tcW w:w="660" w:type="dxa"/>
            <w:tcBorders>
              <w:top w:val="nil"/>
              <w:left w:val="nil"/>
              <w:bottom w:val="nil"/>
              <w:right w:val="nil"/>
            </w:tcBorders>
            <w:shd w:val="clear" w:color="auto" w:fill="auto"/>
            <w:tcMar>
              <w:top w:w="15" w:type="dxa"/>
              <w:left w:w="15" w:type="dxa"/>
              <w:right w:w="15" w:type="dxa"/>
            </w:tcMar>
            <w:vAlign w:val="center"/>
          </w:tcPr>
          <w:p>
            <w:pPr>
              <w:rPr>
                <w:rFonts w:hint="eastAsia" w:ascii="宋体" w:hAnsi="宋体" w:eastAsia="宋体" w:cs="宋体"/>
                <w:i w:val="0"/>
                <w:color w:val="auto"/>
                <w:sz w:val="24"/>
                <w:szCs w:val="24"/>
                <w:u w:val="none"/>
              </w:rPr>
            </w:pPr>
          </w:p>
        </w:tc>
        <w:tc>
          <w:tcPr>
            <w:tcW w:w="1279" w:type="dxa"/>
            <w:tcBorders>
              <w:top w:val="nil"/>
              <w:left w:val="nil"/>
              <w:bottom w:val="nil"/>
              <w:right w:val="nil"/>
            </w:tcBorders>
            <w:shd w:val="clear" w:color="auto" w:fill="auto"/>
            <w:tcMar>
              <w:top w:w="15" w:type="dxa"/>
              <w:left w:w="15" w:type="dxa"/>
              <w:right w:w="15" w:type="dxa"/>
            </w:tcMar>
            <w:vAlign w:val="center"/>
          </w:tcPr>
          <w:p>
            <w:pPr>
              <w:rPr>
                <w:rFonts w:hint="eastAsia" w:ascii="宋体" w:hAnsi="宋体" w:eastAsia="宋体" w:cs="宋体"/>
                <w:i w:val="0"/>
                <w:color w:val="auto"/>
                <w:sz w:val="24"/>
                <w:szCs w:val="24"/>
                <w:u w:val="none"/>
              </w:rPr>
            </w:pPr>
          </w:p>
        </w:tc>
      </w:tr>
      <w:tr>
        <w:tblPrEx>
          <w:tblCellMar>
            <w:top w:w="0" w:type="dxa"/>
            <w:left w:w="0" w:type="dxa"/>
            <w:bottom w:w="0" w:type="dxa"/>
            <w:right w:w="0" w:type="dxa"/>
          </w:tblCellMar>
        </w:tblPrEx>
        <w:trPr>
          <w:trHeight w:val="285" w:hRule="atLeast"/>
        </w:trPr>
        <w:tc>
          <w:tcPr>
            <w:tcW w:w="9543" w:type="dxa"/>
            <w:gridSpan w:val="16"/>
            <w:tcBorders>
              <w:top w:val="nil"/>
              <w:left w:val="nil"/>
              <w:bottom w:val="nil"/>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编制单位：呼伦贝尔市自然资源局</w:t>
            </w:r>
          </w:p>
        </w:tc>
      </w:tr>
      <w:tr>
        <w:tblPrEx>
          <w:tblCellMar>
            <w:top w:w="0" w:type="dxa"/>
            <w:left w:w="0" w:type="dxa"/>
            <w:bottom w:w="0" w:type="dxa"/>
            <w:right w:w="0" w:type="dxa"/>
          </w:tblCellMar>
        </w:tblPrEx>
        <w:trPr>
          <w:trHeight w:val="409" w:hRule="atLeast"/>
        </w:trPr>
        <w:tc>
          <w:tcPr>
            <w:tcW w:w="9543" w:type="dxa"/>
            <w:gridSpan w:val="16"/>
            <w:tcBorders>
              <w:top w:val="nil"/>
              <w:left w:val="nil"/>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18"/>
                <w:szCs w:val="18"/>
                <w:u w:val="none"/>
              </w:rPr>
            </w:pPr>
            <w:r>
              <w:rPr>
                <w:rFonts w:hint="eastAsia" w:ascii="宋体" w:hAnsi="宋体" w:eastAsia="宋体" w:cs="宋体"/>
                <w:b/>
                <w:i w:val="0"/>
                <w:color w:val="auto"/>
                <w:kern w:val="0"/>
                <w:sz w:val="18"/>
                <w:szCs w:val="18"/>
                <w:u w:val="none"/>
                <w:lang w:val="en-US" w:eastAsia="zh-CN" w:bidi="ar"/>
              </w:rPr>
              <w:t>一、项目基本情况</w:t>
            </w:r>
          </w:p>
        </w:tc>
      </w:tr>
      <w:tr>
        <w:tblPrEx>
          <w:tblCellMar>
            <w:top w:w="0" w:type="dxa"/>
            <w:left w:w="0" w:type="dxa"/>
            <w:bottom w:w="0" w:type="dxa"/>
            <w:right w:w="0" w:type="dxa"/>
          </w:tblCellMar>
        </w:tblPrEx>
        <w:trPr>
          <w:trHeight w:val="285" w:hRule="atLeast"/>
        </w:trPr>
        <w:tc>
          <w:tcPr>
            <w:tcW w:w="141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项目名称</w:t>
            </w:r>
          </w:p>
        </w:tc>
        <w:tc>
          <w:tcPr>
            <w:tcW w:w="8129" w:type="dxa"/>
            <w:gridSpan w:val="1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呼伦贝尔市城市总体规划（2012-2030年）</w:t>
            </w:r>
          </w:p>
        </w:tc>
      </w:tr>
      <w:tr>
        <w:tblPrEx>
          <w:shd w:val="clear" w:color="auto" w:fill="auto"/>
          <w:tblCellMar>
            <w:top w:w="0" w:type="dxa"/>
            <w:left w:w="0" w:type="dxa"/>
            <w:bottom w:w="0" w:type="dxa"/>
            <w:right w:w="0" w:type="dxa"/>
          </w:tblCellMar>
        </w:tblPrEx>
        <w:trPr>
          <w:trHeight w:val="285" w:hRule="atLeast"/>
        </w:trPr>
        <w:tc>
          <w:tcPr>
            <w:tcW w:w="141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项目负责人</w:t>
            </w:r>
          </w:p>
        </w:tc>
        <w:tc>
          <w:tcPr>
            <w:tcW w:w="4212" w:type="dxa"/>
            <w:gridSpan w:val="7"/>
            <w:tcBorders>
              <w:top w:val="single" w:color="000000" w:sz="4" w:space="0"/>
              <w:left w:val="nil"/>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王海东</w:t>
            </w:r>
          </w:p>
        </w:tc>
        <w:tc>
          <w:tcPr>
            <w:tcW w:w="1408"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联系电话</w:t>
            </w:r>
          </w:p>
        </w:tc>
        <w:tc>
          <w:tcPr>
            <w:tcW w:w="2509"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8296165</w:t>
            </w:r>
          </w:p>
        </w:tc>
      </w:tr>
      <w:tr>
        <w:tblPrEx>
          <w:tblCellMar>
            <w:top w:w="0" w:type="dxa"/>
            <w:left w:w="0" w:type="dxa"/>
            <w:bottom w:w="0" w:type="dxa"/>
            <w:right w:w="0" w:type="dxa"/>
          </w:tblCellMar>
        </w:tblPrEx>
        <w:trPr>
          <w:trHeight w:val="285" w:hRule="atLeast"/>
        </w:trPr>
        <w:tc>
          <w:tcPr>
            <w:tcW w:w="1414" w:type="dxa"/>
            <w:gridSpan w:val="3"/>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单位财务</w:t>
            </w:r>
          </w:p>
        </w:tc>
        <w:tc>
          <w:tcPr>
            <w:tcW w:w="4212" w:type="dxa"/>
            <w:gridSpan w:val="7"/>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柴桂君</w:t>
            </w:r>
          </w:p>
        </w:tc>
        <w:tc>
          <w:tcPr>
            <w:tcW w:w="1408" w:type="dxa"/>
            <w:gridSpan w:val="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财务联系电话</w:t>
            </w:r>
          </w:p>
        </w:tc>
        <w:tc>
          <w:tcPr>
            <w:tcW w:w="2509" w:type="dxa"/>
            <w:gridSpan w:val="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8296165</w:t>
            </w:r>
          </w:p>
        </w:tc>
      </w:tr>
      <w:tr>
        <w:tblPrEx>
          <w:tblCellMar>
            <w:top w:w="0" w:type="dxa"/>
            <w:left w:w="0" w:type="dxa"/>
            <w:bottom w:w="0" w:type="dxa"/>
            <w:right w:w="0" w:type="dxa"/>
          </w:tblCellMar>
        </w:tblPrEx>
        <w:trPr>
          <w:trHeight w:val="735" w:hRule="atLeast"/>
        </w:trPr>
        <w:tc>
          <w:tcPr>
            <w:tcW w:w="141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项目类别</w:t>
            </w:r>
          </w:p>
        </w:tc>
        <w:tc>
          <w:tcPr>
            <w:tcW w:w="8129" w:type="dxa"/>
            <w:gridSpan w:val="1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商品和服务支出</w:t>
            </w:r>
          </w:p>
        </w:tc>
      </w:tr>
      <w:tr>
        <w:tblPrEx>
          <w:tblCellMar>
            <w:top w:w="0" w:type="dxa"/>
            <w:left w:w="0" w:type="dxa"/>
            <w:bottom w:w="0" w:type="dxa"/>
            <w:right w:w="0" w:type="dxa"/>
          </w:tblCellMar>
        </w:tblPrEx>
        <w:trPr>
          <w:trHeight w:val="285" w:hRule="atLeast"/>
        </w:trPr>
        <w:tc>
          <w:tcPr>
            <w:tcW w:w="141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项目类型</w:t>
            </w:r>
          </w:p>
        </w:tc>
        <w:tc>
          <w:tcPr>
            <w:tcW w:w="4212" w:type="dxa"/>
            <w:gridSpan w:val="7"/>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延续项目</w:t>
            </w:r>
          </w:p>
        </w:tc>
        <w:tc>
          <w:tcPr>
            <w:tcW w:w="1408"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项目口径</w:t>
            </w:r>
          </w:p>
        </w:tc>
        <w:tc>
          <w:tcPr>
            <w:tcW w:w="2509" w:type="dxa"/>
            <w:gridSpan w:val="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阶段性</w:t>
            </w:r>
          </w:p>
        </w:tc>
      </w:tr>
      <w:tr>
        <w:tblPrEx>
          <w:tblCellMar>
            <w:top w:w="0" w:type="dxa"/>
            <w:left w:w="0" w:type="dxa"/>
            <w:bottom w:w="0" w:type="dxa"/>
            <w:right w:w="0" w:type="dxa"/>
          </w:tblCellMar>
        </w:tblPrEx>
        <w:trPr>
          <w:trHeight w:val="285" w:hRule="atLeast"/>
        </w:trPr>
        <w:tc>
          <w:tcPr>
            <w:tcW w:w="1414" w:type="dxa"/>
            <w:gridSpan w:val="3"/>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项目依据</w:t>
            </w:r>
          </w:p>
        </w:tc>
        <w:tc>
          <w:tcPr>
            <w:tcW w:w="8129" w:type="dxa"/>
            <w:gridSpan w:val="1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法律法规规定应安排的项目</w:t>
            </w:r>
          </w:p>
        </w:tc>
      </w:tr>
      <w:tr>
        <w:trPr>
          <w:trHeight w:val="285" w:hRule="atLeast"/>
        </w:trPr>
        <w:tc>
          <w:tcPr>
            <w:tcW w:w="1414" w:type="dxa"/>
            <w:gridSpan w:val="3"/>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项目属性</w:t>
            </w:r>
          </w:p>
        </w:tc>
        <w:tc>
          <w:tcPr>
            <w:tcW w:w="8129" w:type="dxa"/>
            <w:gridSpan w:val="1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专项资金</w:t>
            </w:r>
          </w:p>
        </w:tc>
      </w:tr>
      <w:tr>
        <w:tblPrEx>
          <w:tblCellMar>
            <w:top w:w="0" w:type="dxa"/>
            <w:left w:w="0" w:type="dxa"/>
            <w:bottom w:w="0" w:type="dxa"/>
            <w:right w:w="0" w:type="dxa"/>
          </w:tblCellMar>
        </w:tblPrEx>
        <w:trPr>
          <w:trHeight w:val="360" w:hRule="atLeast"/>
        </w:trPr>
        <w:tc>
          <w:tcPr>
            <w:tcW w:w="141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项目计划实施时间</w:t>
            </w:r>
          </w:p>
        </w:tc>
        <w:tc>
          <w:tcPr>
            <w:tcW w:w="8129" w:type="dxa"/>
            <w:gridSpan w:val="13"/>
            <w:tcBorders>
              <w:top w:val="single" w:color="000000" w:sz="4" w:space="0"/>
              <w:left w:val="nil"/>
              <w:bottom w:val="nil"/>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xml:space="preserve"> 至 </w:t>
            </w:r>
          </w:p>
        </w:tc>
      </w:tr>
      <w:tr>
        <w:trPr>
          <w:trHeight w:val="342" w:hRule="atLeast"/>
        </w:trPr>
        <w:tc>
          <w:tcPr>
            <w:tcW w:w="141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项目实际实施时间</w:t>
            </w:r>
          </w:p>
        </w:tc>
        <w:tc>
          <w:tcPr>
            <w:tcW w:w="8129" w:type="dxa"/>
            <w:gridSpan w:val="13"/>
            <w:tcBorders>
              <w:top w:val="single" w:color="000000" w:sz="4" w:space="0"/>
              <w:left w:val="nil"/>
              <w:bottom w:val="nil"/>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xml:space="preserve"> 2019-01-01至 2019-12-31</w:t>
            </w:r>
          </w:p>
        </w:tc>
      </w:tr>
      <w:tr>
        <w:tblPrEx>
          <w:shd w:val="clear" w:color="auto" w:fill="auto"/>
          <w:tblCellMar>
            <w:top w:w="0" w:type="dxa"/>
            <w:left w:w="0" w:type="dxa"/>
            <w:bottom w:w="0" w:type="dxa"/>
            <w:right w:w="0" w:type="dxa"/>
          </w:tblCellMar>
        </w:tblPrEx>
        <w:trPr>
          <w:trHeight w:val="312" w:hRule="atLeast"/>
        </w:trPr>
        <w:tc>
          <w:tcPr>
            <w:tcW w:w="141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项目自评价时间</w:t>
            </w:r>
          </w:p>
        </w:tc>
        <w:tc>
          <w:tcPr>
            <w:tcW w:w="8129" w:type="dxa"/>
            <w:gridSpan w:val="13"/>
            <w:tcBorders>
              <w:top w:val="single" w:color="000000" w:sz="4" w:space="0"/>
              <w:left w:val="nil"/>
              <w:bottom w:val="nil"/>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xml:space="preserve"> 2020-03-17至 2020-03-24</w:t>
            </w:r>
          </w:p>
        </w:tc>
      </w:tr>
      <w:tr>
        <w:tblPrEx>
          <w:shd w:val="clear" w:color="auto" w:fill="auto"/>
        </w:tblPrEx>
        <w:trPr>
          <w:trHeight w:val="1440" w:hRule="atLeast"/>
        </w:trPr>
        <w:tc>
          <w:tcPr>
            <w:tcW w:w="141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项目申请原因（包括设立依据、可行性及必要性）</w:t>
            </w:r>
          </w:p>
        </w:tc>
        <w:tc>
          <w:tcPr>
            <w:tcW w:w="8129" w:type="dxa"/>
            <w:gridSpan w:val="1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现设计单位已完成《呼伦贝尔市城市总体规划（2017-2035）》阶段性成果，合同价格1280万元，尚有120万元编制经费未安排</w:t>
            </w:r>
          </w:p>
        </w:tc>
      </w:tr>
      <w:tr>
        <w:tblPrEx>
          <w:tblCellMar>
            <w:top w:w="0" w:type="dxa"/>
            <w:left w:w="0" w:type="dxa"/>
            <w:bottom w:w="0" w:type="dxa"/>
            <w:right w:w="0" w:type="dxa"/>
          </w:tblCellMar>
        </w:tblPrEx>
        <w:trPr>
          <w:trHeight w:val="1440" w:hRule="atLeast"/>
        </w:trPr>
        <w:tc>
          <w:tcPr>
            <w:tcW w:w="1414" w:type="dxa"/>
            <w:gridSpan w:val="3"/>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项目内容</w:t>
            </w:r>
          </w:p>
        </w:tc>
        <w:tc>
          <w:tcPr>
            <w:tcW w:w="8129" w:type="dxa"/>
            <w:gridSpan w:val="1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呼伦贝尔市城市总体规划修编。合同价1280万元，2017年预算安排776万元。2018年安排384万元。按5：3：2付款比例，2019年应安排120万</w:t>
            </w:r>
          </w:p>
        </w:tc>
      </w:tr>
      <w:tr>
        <w:trPr>
          <w:trHeight w:val="1440" w:hRule="atLeast"/>
        </w:trPr>
        <w:tc>
          <w:tcPr>
            <w:tcW w:w="1414" w:type="dxa"/>
            <w:gridSpan w:val="3"/>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项目概况</w:t>
            </w:r>
          </w:p>
        </w:tc>
        <w:tc>
          <w:tcPr>
            <w:tcW w:w="8129" w:type="dxa"/>
            <w:gridSpan w:val="1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呼伦贝尔市城市总体规划修编。合同价1280万元，2017年预算安排776万元。2018年安排384万元。按5：3：2付款比例，2019年应安排120万</w:t>
            </w:r>
          </w:p>
        </w:tc>
      </w:tr>
      <w:tr>
        <w:tblPrEx>
          <w:tblCellMar>
            <w:top w:w="0" w:type="dxa"/>
            <w:left w:w="0" w:type="dxa"/>
            <w:bottom w:w="0" w:type="dxa"/>
            <w:right w:w="0" w:type="dxa"/>
          </w:tblCellMar>
        </w:tblPrEx>
        <w:trPr>
          <w:trHeight w:val="1440" w:hRule="atLeast"/>
        </w:trPr>
        <w:tc>
          <w:tcPr>
            <w:tcW w:w="994" w:type="dxa"/>
            <w:vMerge w:val="restart"/>
            <w:tcBorders>
              <w:top w:val="nil"/>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项目绩效目标</w:t>
            </w:r>
          </w:p>
        </w:tc>
        <w:tc>
          <w:tcPr>
            <w:tcW w:w="420"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总目标完成情况</w:t>
            </w:r>
          </w:p>
        </w:tc>
        <w:tc>
          <w:tcPr>
            <w:tcW w:w="8129" w:type="dxa"/>
            <w:gridSpan w:val="1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完成《呼伦贝尔市城市总体规划（2017-2035年）》最终成果</w:t>
            </w:r>
          </w:p>
        </w:tc>
      </w:tr>
      <w:tr>
        <w:tblPrEx>
          <w:tblCellMar>
            <w:top w:w="0" w:type="dxa"/>
            <w:left w:w="0" w:type="dxa"/>
            <w:bottom w:w="0" w:type="dxa"/>
            <w:right w:w="0" w:type="dxa"/>
          </w:tblCellMar>
        </w:tblPrEx>
        <w:trPr>
          <w:trHeight w:val="1440" w:hRule="atLeast"/>
        </w:trPr>
        <w:tc>
          <w:tcPr>
            <w:tcW w:w="994" w:type="dxa"/>
            <w:vMerge w:val="continue"/>
            <w:tcBorders>
              <w:top w:val="nil"/>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420"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阶段性目标完成情况</w:t>
            </w:r>
          </w:p>
        </w:tc>
        <w:tc>
          <w:tcPr>
            <w:tcW w:w="8129" w:type="dxa"/>
            <w:gridSpan w:val="1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完成《呼伦贝尔市城市总体规划（2017-2035年）》最终成果</w:t>
            </w:r>
          </w:p>
        </w:tc>
      </w:tr>
      <w:tr>
        <w:tblPrEx>
          <w:tblCellMar>
            <w:top w:w="0" w:type="dxa"/>
            <w:left w:w="0" w:type="dxa"/>
            <w:bottom w:w="0" w:type="dxa"/>
            <w:right w:w="0" w:type="dxa"/>
          </w:tblCellMar>
        </w:tblPrEx>
        <w:trPr>
          <w:trHeight w:val="1440" w:hRule="atLeast"/>
        </w:trPr>
        <w:tc>
          <w:tcPr>
            <w:tcW w:w="994" w:type="dxa"/>
            <w:vMerge w:val="restart"/>
            <w:tcBorders>
              <w:top w:val="nil"/>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阶段性目标完成情况</w:t>
            </w:r>
          </w:p>
        </w:tc>
        <w:tc>
          <w:tcPr>
            <w:tcW w:w="420"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前期准备</w:t>
            </w:r>
          </w:p>
        </w:tc>
        <w:tc>
          <w:tcPr>
            <w:tcW w:w="8129" w:type="dxa"/>
            <w:gridSpan w:val="1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现设计单位已完成《呼伦贝尔市城市总体规划（2017-2035）》阶段性成果，合同价格1280万元，尚有120万元编制经费未安排</w:t>
            </w:r>
          </w:p>
        </w:tc>
      </w:tr>
      <w:tr>
        <w:tblPrEx>
          <w:tblCellMar>
            <w:top w:w="0" w:type="dxa"/>
            <w:left w:w="0" w:type="dxa"/>
            <w:bottom w:w="0" w:type="dxa"/>
            <w:right w:w="0" w:type="dxa"/>
          </w:tblCellMar>
        </w:tblPrEx>
        <w:trPr>
          <w:trHeight w:val="1440" w:hRule="atLeast"/>
        </w:trPr>
        <w:tc>
          <w:tcPr>
            <w:tcW w:w="994" w:type="dxa"/>
            <w:vMerge w:val="continue"/>
            <w:tcBorders>
              <w:top w:val="nil"/>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420"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组织实施</w:t>
            </w:r>
          </w:p>
        </w:tc>
        <w:tc>
          <w:tcPr>
            <w:tcW w:w="8129" w:type="dxa"/>
            <w:gridSpan w:val="1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呼伦贝尔市城市总体规划修编。合同价1280万元，2017年预算安排776万元。2018年安排384万元。按5：3：2付款比例，2019年应安排120万</w:t>
            </w:r>
          </w:p>
        </w:tc>
      </w:tr>
      <w:tr>
        <w:tblPrEx>
          <w:tblCellMar>
            <w:top w:w="0" w:type="dxa"/>
            <w:left w:w="0" w:type="dxa"/>
            <w:bottom w:w="0" w:type="dxa"/>
            <w:right w:w="0" w:type="dxa"/>
          </w:tblCellMar>
        </w:tblPrEx>
        <w:trPr>
          <w:trHeight w:val="1440" w:hRule="atLeast"/>
        </w:trPr>
        <w:tc>
          <w:tcPr>
            <w:tcW w:w="994" w:type="dxa"/>
            <w:vMerge w:val="continue"/>
            <w:tcBorders>
              <w:top w:val="nil"/>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420"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分析评价</w:t>
            </w:r>
          </w:p>
        </w:tc>
        <w:tc>
          <w:tcPr>
            <w:tcW w:w="8129" w:type="dxa"/>
            <w:gridSpan w:val="1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完成《呼伦贝尔市城市总体规划（2017-2035年）》最终成果</w:t>
            </w:r>
          </w:p>
        </w:tc>
      </w:tr>
      <w:tr>
        <w:tblPrEx>
          <w:tblCellMar>
            <w:top w:w="0" w:type="dxa"/>
            <w:left w:w="0" w:type="dxa"/>
            <w:bottom w:w="0" w:type="dxa"/>
            <w:right w:w="0" w:type="dxa"/>
          </w:tblCellMar>
        </w:tblPrEx>
        <w:trPr>
          <w:trHeight w:val="600" w:hRule="atLeast"/>
        </w:trPr>
        <w:tc>
          <w:tcPr>
            <w:tcW w:w="9543" w:type="dxa"/>
            <w:gridSpan w:val="1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18"/>
                <w:szCs w:val="18"/>
                <w:u w:val="none"/>
              </w:rPr>
            </w:pPr>
            <w:r>
              <w:rPr>
                <w:rFonts w:hint="eastAsia" w:ascii="宋体" w:hAnsi="宋体" w:eastAsia="宋体" w:cs="宋体"/>
                <w:b/>
                <w:i w:val="0"/>
                <w:color w:val="auto"/>
                <w:kern w:val="0"/>
                <w:sz w:val="18"/>
                <w:szCs w:val="18"/>
                <w:u w:val="none"/>
                <w:lang w:val="en-US" w:eastAsia="zh-CN" w:bidi="ar"/>
              </w:rPr>
              <w:t>二、项目资金情况</w:t>
            </w:r>
          </w:p>
        </w:tc>
      </w:tr>
      <w:tr>
        <w:tblPrEx>
          <w:tblCellMar>
            <w:top w:w="0" w:type="dxa"/>
            <w:left w:w="0" w:type="dxa"/>
            <w:bottom w:w="0" w:type="dxa"/>
            <w:right w:w="0" w:type="dxa"/>
          </w:tblCellMar>
        </w:tblPrEx>
        <w:trPr>
          <w:trHeight w:val="439" w:hRule="atLeast"/>
        </w:trPr>
        <w:tc>
          <w:tcPr>
            <w:tcW w:w="1414"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申请资金(万元)</w:t>
            </w:r>
          </w:p>
        </w:tc>
        <w:tc>
          <w:tcPr>
            <w:tcW w:w="8129" w:type="dxa"/>
            <w:gridSpan w:val="1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r>
      <w:tr>
        <w:tblPrEx>
          <w:tblCellMar>
            <w:top w:w="0" w:type="dxa"/>
            <w:left w:w="0" w:type="dxa"/>
            <w:bottom w:w="0" w:type="dxa"/>
            <w:right w:w="0" w:type="dxa"/>
          </w:tblCellMar>
        </w:tblPrEx>
        <w:trPr>
          <w:trHeight w:val="285" w:hRule="atLeast"/>
        </w:trPr>
        <w:tc>
          <w:tcPr>
            <w:tcW w:w="1414" w:type="dxa"/>
            <w:gridSpan w:val="3"/>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项目资金来源</w:t>
            </w:r>
          </w:p>
        </w:tc>
        <w:tc>
          <w:tcPr>
            <w:tcW w:w="223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资金来源</w:t>
            </w:r>
          </w:p>
        </w:tc>
        <w:tc>
          <w:tcPr>
            <w:tcW w:w="780"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上年结转(万元)</w:t>
            </w:r>
          </w:p>
        </w:tc>
        <w:tc>
          <w:tcPr>
            <w:tcW w:w="1202"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当年安排资金(万元)</w:t>
            </w:r>
          </w:p>
        </w:tc>
        <w:tc>
          <w:tcPr>
            <w:tcW w:w="1408"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实际到位</w:t>
            </w:r>
          </w:p>
        </w:tc>
        <w:tc>
          <w:tcPr>
            <w:tcW w:w="1230"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实际支出</w:t>
            </w:r>
          </w:p>
        </w:tc>
        <w:tc>
          <w:tcPr>
            <w:tcW w:w="1279" w:type="dxa"/>
            <w:vMerge w:val="restart"/>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结转结余金额(万元)</w:t>
            </w:r>
          </w:p>
        </w:tc>
      </w:tr>
      <w:tr>
        <w:tblPrEx>
          <w:tblCellMar>
            <w:top w:w="0" w:type="dxa"/>
            <w:left w:w="0" w:type="dxa"/>
            <w:bottom w:w="0" w:type="dxa"/>
            <w:right w:w="0" w:type="dxa"/>
          </w:tblCellMar>
        </w:tblPrEx>
        <w:trPr>
          <w:trHeight w:val="285" w:hRule="atLeast"/>
        </w:trPr>
        <w:tc>
          <w:tcPr>
            <w:tcW w:w="1414" w:type="dxa"/>
            <w:gridSpan w:val="3"/>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223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39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批复金额(万元)</w:t>
            </w:r>
          </w:p>
        </w:tc>
        <w:tc>
          <w:tcPr>
            <w:tcW w:w="39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实际金额(万元)</w:t>
            </w:r>
          </w:p>
        </w:tc>
        <w:tc>
          <w:tcPr>
            <w:tcW w:w="57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批复金额(万元)</w:t>
            </w:r>
          </w:p>
        </w:tc>
        <w:tc>
          <w:tcPr>
            <w:tcW w:w="632"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实际金额(万元)</w:t>
            </w:r>
          </w:p>
        </w:tc>
        <w:tc>
          <w:tcPr>
            <w:tcW w:w="748"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金额(万元)</w:t>
            </w:r>
          </w:p>
        </w:tc>
        <w:tc>
          <w:tcPr>
            <w:tcW w:w="66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到位率（%）</w:t>
            </w:r>
          </w:p>
        </w:tc>
        <w:tc>
          <w:tcPr>
            <w:tcW w:w="57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金额(万元)</w:t>
            </w:r>
          </w:p>
        </w:tc>
        <w:tc>
          <w:tcPr>
            <w:tcW w:w="66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支出实现率（%）</w:t>
            </w:r>
          </w:p>
        </w:tc>
        <w:tc>
          <w:tcPr>
            <w:tcW w:w="1279" w:type="dxa"/>
            <w:vMerge w:val="continue"/>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r>
      <w:tr>
        <w:tblPrEx>
          <w:tblCellMar>
            <w:top w:w="0" w:type="dxa"/>
            <w:left w:w="0" w:type="dxa"/>
            <w:bottom w:w="0" w:type="dxa"/>
            <w:right w:w="0" w:type="dxa"/>
          </w:tblCellMar>
        </w:tblPrEx>
        <w:trPr>
          <w:trHeight w:val="402" w:hRule="atLeast"/>
        </w:trPr>
        <w:tc>
          <w:tcPr>
            <w:tcW w:w="1414" w:type="dxa"/>
            <w:gridSpan w:val="3"/>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2230"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合计</w:t>
            </w:r>
          </w:p>
        </w:tc>
        <w:tc>
          <w:tcPr>
            <w:tcW w:w="39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39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57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120.00</w:t>
            </w:r>
          </w:p>
        </w:tc>
        <w:tc>
          <w:tcPr>
            <w:tcW w:w="632"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120.00</w:t>
            </w:r>
          </w:p>
        </w:tc>
        <w:tc>
          <w:tcPr>
            <w:tcW w:w="748"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120.00</w:t>
            </w:r>
          </w:p>
        </w:tc>
        <w:tc>
          <w:tcPr>
            <w:tcW w:w="66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100.00%</w:t>
            </w:r>
          </w:p>
        </w:tc>
        <w:tc>
          <w:tcPr>
            <w:tcW w:w="57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120.00</w:t>
            </w:r>
          </w:p>
        </w:tc>
        <w:tc>
          <w:tcPr>
            <w:tcW w:w="66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100.00%</w:t>
            </w:r>
          </w:p>
        </w:tc>
        <w:tc>
          <w:tcPr>
            <w:tcW w:w="1279"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r>
      <w:tr>
        <w:tblPrEx>
          <w:tblCellMar>
            <w:top w:w="0" w:type="dxa"/>
            <w:left w:w="0" w:type="dxa"/>
            <w:bottom w:w="0" w:type="dxa"/>
            <w:right w:w="0" w:type="dxa"/>
          </w:tblCellMar>
        </w:tblPrEx>
        <w:trPr>
          <w:trHeight w:val="402" w:hRule="atLeast"/>
        </w:trPr>
        <w:tc>
          <w:tcPr>
            <w:tcW w:w="1414" w:type="dxa"/>
            <w:gridSpan w:val="3"/>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2230" w:type="dxa"/>
            <w:gridSpan w:val="2"/>
            <w:tcBorders>
              <w:top w:val="single" w:color="000000" w:sz="4" w:space="0"/>
              <w:left w:val="nil"/>
              <w:bottom w:val="single" w:color="000000" w:sz="4" w:space="0"/>
              <w:right w:val="single" w:color="000000" w:sz="4" w:space="0"/>
            </w:tcBorders>
            <w:shd w:val="clear" w:color="000000" w:fill="FFFFFF"/>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公共财政预算管理资金</w:t>
            </w:r>
          </w:p>
        </w:tc>
        <w:tc>
          <w:tcPr>
            <w:tcW w:w="39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39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57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120.00</w:t>
            </w:r>
          </w:p>
        </w:tc>
        <w:tc>
          <w:tcPr>
            <w:tcW w:w="632"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120.00</w:t>
            </w:r>
          </w:p>
        </w:tc>
        <w:tc>
          <w:tcPr>
            <w:tcW w:w="748"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120.00</w:t>
            </w:r>
          </w:p>
        </w:tc>
        <w:tc>
          <w:tcPr>
            <w:tcW w:w="66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100.00%</w:t>
            </w:r>
          </w:p>
        </w:tc>
        <w:tc>
          <w:tcPr>
            <w:tcW w:w="57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120.00</w:t>
            </w:r>
          </w:p>
        </w:tc>
        <w:tc>
          <w:tcPr>
            <w:tcW w:w="66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100.00%</w:t>
            </w:r>
          </w:p>
        </w:tc>
        <w:tc>
          <w:tcPr>
            <w:tcW w:w="1279"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r>
      <w:tr>
        <w:tblPrEx>
          <w:tblCellMar>
            <w:top w:w="0" w:type="dxa"/>
            <w:left w:w="0" w:type="dxa"/>
            <w:bottom w:w="0" w:type="dxa"/>
            <w:right w:w="0" w:type="dxa"/>
          </w:tblCellMar>
        </w:tblPrEx>
        <w:trPr>
          <w:trHeight w:val="402" w:hRule="atLeast"/>
        </w:trPr>
        <w:tc>
          <w:tcPr>
            <w:tcW w:w="1414" w:type="dxa"/>
            <w:gridSpan w:val="3"/>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2230" w:type="dxa"/>
            <w:gridSpan w:val="2"/>
            <w:tcBorders>
              <w:top w:val="single" w:color="000000" w:sz="4" w:space="0"/>
              <w:left w:val="nil"/>
              <w:bottom w:val="single" w:color="000000" w:sz="4" w:space="0"/>
              <w:right w:val="single" w:color="000000" w:sz="4" w:space="0"/>
            </w:tcBorders>
            <w:shd w:val="clear" w:color="000000" w:fill="FFFFFF"/>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政府性资金预算资金</w:t>
            </w:r>
          </w:p>
        </w:tc>
        <w:tc>
          <w:tcPr>
            <w:tcW w:w="39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39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57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32"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748"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6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57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6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1279"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r>
      <w:tr>
        <w:tblPrEx>
          <w:tblCellMar>
            <w:top w:w="0" w:type="dxa"/>
            <w:left w:w="0" w:type="dxa"/>
            <w:bottom w:w="0" w:type="dxa"/>
            <w:right w:w="0" w:type="dxa"/>
          </w:tblCellMar>
        </w:tblPrEx>
        <w:trPr>
          <w:trHeight w:val="402" w:hRule="atLeast"/>
        </w:trPr>
        <w:tc>
          <w:tcPr>
            <w:tcW w:w="1414" w:type="dxa"/>
            <w:gridSpan w:val="3"/>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2230" w:type="dxa"/>
            <w:gridSpan w:val="2"/>
            <w:tcBorders>
              <w:top w:val="single" w:color="000000" w:sz="4" w:space="0"/>
              <w:left w:val="nil"/>
              <w:bottom w:val="single" w:color="000000" w:sz="4" w:space="0"/>
              <w:right w:val="single" w:color="000000" w:sz="4" w:space="0"/>
            </w:tcBorders>
            <w:shd w:val="clear" w:color="000000" w:fill="FFFFFF"/>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国有资本经营预算资金</w:t>
            </w:r>
          </w:p>
        </w:tc>
        <w:tc>
          <w:tcPr>
            <w:tcW w:w="39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39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57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32"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748"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6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57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6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1279"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r>
      <w:tr>
        <w:tblPrEx>
          <w:tblCellMar>
            <w:top w:w="0" w:type="dxa"/>
            <w:left w:w="0" w:type="dxa"/>
            <w:bottom w:w="0" w:type="dxa"/>
            <w:right w:w="0" w:type="dxa"/>
          </w:tblCellMar>
        </w:tblPrEx>
        <w:trPr>
          <w:trHeight w:val="402" w:hRule="atLeast"/>
        </w:trPr>
        <w:tc>
          <w:tcPr>
            <w:tcW w:w="1414" w:type="dxa"/>
            <w:gridSpan w:val="3"/>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2230" w:type="dxa"/>
            <w:gridSpan w:val="2"/>
            <w:tcBorders>
              <w:top w:val="single" w:color="000000" w:sz="4" w:space="0"/>
              <w:left w:val="nil"/>
              <w:bottom w:val="single" w:color="000000" w:sz="4" w:space="0"/>
              <w:right w:val="single" w:color="000000" w:sz="4" w:space="0"/>
            </w:tcBorders>
            <w:shd w:val="clear" w:color="000000" w:fill="FFFFFF"/>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社会保险基本预算资金</w:t>
            </w:r>
          </w:p>
        </w:tc>
        <w:tc>
          <w:tcPr>
            <w:tcW w:w="39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39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57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32"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748"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6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57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6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1279"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r>
      <w:tr>
        <w:tblPrEx>
          <w:tblCellMar>
            <w:top w:w="0" w:type="dxa"/>
            <w:left w:w="0" w:type="dxa"/>
            <w:bottom w:w="0" w:type="dxa"/>
            <w:right w:w="0" w:type="dxa"/>
          </w:tblCellMar>
        </w:tblPrEx>
        <w:trPr>
          <w:trHeight w:val="402" w:hRule="atLeast"/>
        </w:trPr>
        <w:tc>
          <w:tcPr>
            <w:tcW w:w="1414" w:type="dxa"/>
            <w:gridSpan w:val="3"/>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2230" w:type="dxa"/>
            <w:gridSpan w:val="2"/>
            <w:tcBorders>
              <w:top w:val="single" w:color="000000" w:sz="4" w:space="0"/>
              <w:left w:val="nil"/>
              <w:bottom w:val="single" w:color="000000" w:sz="4" w:space="0"/>
              <w:right w:val="single" w:color="000000" w:sz="4" w:space="0"/>
            </w:tcBorders>
            <w:shd w:val="clear" w:color="000000" w:fill="FFFFFF"/>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其他资金</w:t>
            </w:r>
          </w:p>
        </w:tc>
        <w:tc>
          <w:tcPr>
            <w:tcW w:w="39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39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57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32"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748"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6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57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6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1279"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r>
      <w:tr>
        <w:tblPrEx>
          <w:tblCellMar>
            <w:top w:w="0" w:type="dxa"/>
            <w:left w:w="0" w:type="dxa"/>
            <w:bottom w:w="0" w:type="dxa"/>
            <w:right w:w="0" w:type="dxa"/>
          </w:tblCellMar>
        </w:tblPrEx>
        <w:trPr>
          <w:trHeight w:val="402" w:hRule="atLeast"/>
        </w:trPr>
        <w:tc>
          <w:tcPr>
            <w:tcW w:w="1414" w:type="dxa"/>
            <w:gridSpan w:val="3"/>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2230" w:type="dxa"/>
            <w:gridSpan w:val="2"/>
            <w:tcBorders>
              <w:top w:val="single" w:color="000000" w:sz="4" w:space="0"/>
              <w:left w:val="nil"/>
              <w:bottom w:val="single" w:color="000000" w:sz="4" w:space="0"/>
              <w:right w:val="single" w:color="000000" w:sz="4" w:space="0"/>
            </w:tcBorders>
            <w:shd w:val="clear" w:color="000000" w:fill="FFFFFF"/>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旗市区拨款(本级)</w:t>
            </w:r>
          </w:p>
        </w:tc>
        <w:tc>
          <w:tcPr>
            <w:tcW w:w="39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39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57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32"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748"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6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57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6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1279"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r>
      <w:tr>
        <w:tblPrEx>
          <w:tblCellMar>
            <w:top w:w="0" w:type="dxa"/>
            <w:left w:w="0" w:type="dxa"/>
            <w:bottom w:w="0" w:type="dxa"/>
            <w:right w:w="0" w:type="dxa"/>
          </w:tblCellMar>
        </w:tblPrEx>
        <w:trPr>
          <w:trHeight w:val="402" w:hRule="atLeast"/>
        </w:trPr>
        <w:tc>
          <w:tcPr>
            <w:tcW w:w="1414" w:type="dxa"/>
            <w:gridSpan w:val="3"/>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2230" w:type="dxa"/>
            <w:gridSpan w:val="2"/>
            <w:tcBorders>
              <w:top w:val="single" w:color="000000" w:sz="4" w:space="0"/>
              <w:left w:val="nil"/>
              <w:bottom w:val="single" w:color="000000" w:sz="4" w:space="0"/>
              <w:right w:val="single" w:color="000000" w:sz="4" w:space="0"/>
            </w:tcBorders>
            <w:shd w:val="clear" w:color="000000" w:fill="FFFFFF"/>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中央拨款</w:t>
            </w:r>
          </w:p>
        </w:tc>
        <w:tc>
          <w:tcPr>
            <w:tcW w:w="39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39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57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32"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748"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6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57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6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1279"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r>
      <w:tr>
        <w:tblPrEx>
          <w:tblCellMar>
            <w:top w:w="0" w:type="dxa"/>
            <w:left w:w="0" w:type="dxa"/>
            <w:bottom w:w="0" w:type="dxa"/>
            <w:right w:w="0" w:type="dxa"/>
          </w:tblCellMar>
        </w:tblPrEx>
        <w:trPr>
          <w:trHeight w:val="402" w:hRule="atLeast"/>
        </w:trPr>
        <w:tc>
          <w:tcPr>
            <w:tcW w:w="1414" w:type="dxa"/>
            <w:gridSpan w:val="3"/>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2230" w:type="dxa"/>
            <w:gridSpan w:val="2"/>
            <w:tcBorders>
              <w:top w:val="single" w:color="000000" w:sz="4" w:space="0"/>
              <w:left w:val="nil"/>
              <w:bottom w:val="single" w:color="000000" w:sz="4" w:space="0"/>
              <w:right w:val="single" w:color="000000" w:sz="4" w:space="0"/>
            </w:tcBorders>
            <w:shd w:val="clear" w:color="000000" w:fill="FFFFFF"/>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自治区拨款</w:t>
            </w:r>
          </w:p>
        </w:tc>
        <w:tc>
          <w:tcPr>
            <w:tcW w:w="39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39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57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32"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748"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6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57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6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1279"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r>
      <w:tr>
        <w:tblPrEx>
          <w:tblCellMar>
            <w:top w:w="0" w:type="dxa"/>
            <w:left w:w="0" w:type="dxa"/>
            <w:bottom w:w="0" w:type="dxa"/>
            <w:right w:w="0" w:type="dxa"/>
          </w:tblCellMar>
        </w:tblPrEx>
        <w:trPr>
          <w:trHeight w:val="402" w:hRule="atLeast"/>
        </w:trPr>
        <w:tc>
          <w:tcPr>
            <w:tcW w:w="1414" w:type="dxa"/>
            <w:gridSpan w:val="3"/>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2230" w:type="dxa"/>
            <w:gridSpan w:val="2"/>
            <w:tcBorders>
              <w:top w:val="single" w:color="000000" w:sz="4" w:space="0"/>
              <w:left w:val="nil"/>
              <w:bottom w:val="single" w:color="000000" w:sz="4" w:space="0"/>
              <w:right w:val="single" w:color="000000" w:sz="4" w:space="0"/>
            </w:tcBorders>
            <w:shd w:val="clear" w:color="000000" w:fill="FFFFFF"/>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预算资金(本级追加)</w:t>
            </w:r>
          </w:p>
        </w:tc>
        <w:tc>
          <w:tcPr>
            <w:tcW w:w="39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39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57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32"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748"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6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57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6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1279"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r>
      <w:tr>
        <w:tblPrEx>
          <w:tblCellMar>
            <w:top w:w="0" w:type="dxa"/>
            <w:left w:w="0" w:type="dxa"/>
            <w:bottom w:w="0" w:type="dxa"/>
            <w:right w:w="0" w:type="dxa"/>
          </w:tblCellMar>
        </w:tblPrEx>
        <w:trPr>
          <w:trHeight w:val="402" w:hRule="atLeast"/>
        </w:trPr>
        <w:tc>
          <w:tcPr>
            <w:tcW w:w="1414" w:type="dxa"/>
            <w:gridSpan w:val="3"/>
            <w:vMerge w:val="restart"/>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资金支出情况（万元)</w:t>
            </w:r>
          </w:p>
        </w:tc>
        <w:tc>
          <w:tcPr>
            <w:tcW w:w="2620" w:type="dxa"/>
            <w:gridSpan w:val="3"/>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支出明细内容</w:t>
            </w:r>
          </w:p>
        </w:tc>
        <w:tc>
          <w:tcPr>
            <w:tcW w:w="1592" w:type="dxa"/>
            <w:gridSpan w:val="4"/>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型号</w:t>
            </w:r>
          </w:p>
        </w:tc>
        <w:tc>
          <w:tcPr>
            <w:tcW w:w="1408" w:type="dxa"/>
            <w:gridSpan w:val="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计量单位</w:t>
            </w:r>
          </w:p>
        </w:tc>
        <w:tc>
          <w:tcPr>
            <w:tcW w:w="57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数量</w:t>
            </w:r>
          </w:p>
        </w:tc>
        <w:tc>
          <w:tcPr>
            <w:tcW w:w="66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单价</w:t>
            </w:r>
          </w:p>
        </w:tc>
        <w:tc>
          <w:tcPr>
            <w:tcW w:w="1279"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总额</w:t>
            </w:r>
          </w:p>
        </w:tc>
      </w:tr>
      <w:tr>
        <w:tblPrEx>
          <w:tblCellMar>
            <w:top w:w="0" w:type="dxa"/>
            <w:left w:w="0" w:type="dxa"/>
            <w:bottom w:w="0" w:type="dxa"/>
            <w:right w:w="0" w:type="dxa"/>
          </w:tblCellMar>
        </w:tblPrEx>
        <w:trPr>
          <w:trHeight w:val="402" w:hRule="atLeast"/>
        </w:trPr>
        <w:tc>
          <w:tcPr>
            <w:tcW w:w="1414" w:type="dxa"/>
            <w:gridSpan w:val="3"/>
            <w:vMerge w:val="continue"/>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jc w:val="left"/>
              <w:rPr>
                <w:rFonts w:hint="eastAsia" w:ascii="宋体" w:hAnsi="宋体" w:eastAsia="宋体" w:cs="宋体"/>
                <w:i w:val="0"/>
                <w:color w:val="auto"/>
                <w:sz w:val="18"/>
                <w:szCs w:val="18"/>
                <w:u w:val="none"/>
              </w:rPr>
            </w:pPr>
          </w:p>
        </w:tc>
        <w:tc>
          <w:tcPr>
            <w:tcW w:w="2620" w:type="dxa"/>
            <w:gridSpan w:val="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合计</w:t>
            </w:r>
          </w:p>
        </w:tc>
        <w:tc>
          <w:tcPr>
            <w:tcW w:w="1592" w:type="dxa"/>
            <w:gridSpan w:val="4"/>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1408" w:type="dxa"/>
            <w:gridSpan w:val="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57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1.00</w:t>
            </w:r>
          </w:p>
        </w:tc>
        <w:tc>
          <w:tcPr>
            <w:tcW w:w="66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120.00</w:t>
            </w:r>
          </w:p>
        </w:tc>
        <w:tc>
          <w:tcPr>
            <w:tcW w:w="1279"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120.00</w:t>
            </w:r>
          </w:p>
        </w:tc>
      </w:tr>
      <w:tr>
        <w:tblPrEx>
          <w:tblCellMar>
            <w:top w:w="0" w:type="dxa"/>
            <w:left w:w="0" w:type="dxa"/>
            <w:bottom w:w="0" w:type="dxa"/>
            <w:right w:w="0" w:type="dxa"/>
          </w:tblCellMar>
        </w:tblPrEx>
        <w:trPr>
          <w:trHeight w:val="402" w:hRule="atLeast"/>
        </w:trPr>
        <w:tc>
          <w:tcPr>
            <w:tcW w:w="1414" w:type="dxa"/>
            <w:gridSpan w:val="3"/>
            <w:vMerge w:val="continue"/>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jc w:val="left"/>
              <w:rPr>
                <w:rFonts w:hint="eastAsia" w:ascii="宋体" w:hAnsi="宋体" w:eastAsia="宋体" w:cs="宋体"/>
                <w:i w:val="0"/>
                <w:color w:val="auto"/>
                <w:sz w:val="18"/>
                <w:szCs w:val="18"/>
                <w:u w:val="none"/>
              </w:rPr>
            </w:pPr>
          </w:p>
        </w:tc>
        <w:tc>
          <w:tcPr>
            <w:tcW w:w="2620" w:type="dxa"/>
            <w:gridSpan w:val="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呼伦贝尔市城市总体规划（2017-2035）</w:t>
            </w:r>
          </w:p>
        </w:tc>
        <w:tc>
          <w:tcPr>
            <w:tcW w:w="1592" w:type="dxa"/>
            <w:gridSpan w:val="4"/>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见文件</w:t>
            </w:r>
          </w:p>
        </w:tc>
        <w:tc>
          <w:tcPr>
            <w:tcW w:w="1408" w:type="dxa"/>
            <w:gridSpan w:val="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项目个数</w:t>
            </w:r>
          </w:p>
        </w:tc>
        <w:tc>
          <w:tcPr>
            <w:tcW w:w="57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w:t>
            </w:r>
          </w:p>
        </w:tc>
        <w:tc>
          <w:tcPr>
            <w:tcW w:w="66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120.00</w:t>
            </w:r>
          </w:p>
        </w:tc>
        <w:tc>
          <w:tcPr>
            <w:tcW w:w="1279"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120.00</w:t>
            </w:r>
          </w:p>
        </w:tc>
      </w:tr>
      <w:tr>
        <w:tblPrEx>
          <w:tblCellMar>
            <w:top w:w="0" w:type="dxa"/>
            <w:left w:w="0" w:type="dxa"/>
            <w:bottom w:w="0" w:type="dxa"/>
            <w:right w:w="0" w:type="dxa"/>
          </w:tblCellMar>
        </w:tblPrEx>
        <w:trPr>
          <w:trHeight w:val="1200" w:hRule="atLeast"/>
        </w:trPr>
        <w:tc>
          <w:tcPr>
            <w:tcW w:w="1414" w:type="dxa"/>
            <w:gridSpan w:val="3"/>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资金管理情况分析</w:t>
            </w:r>
          </w:p>
        </w:tc>
        <w:tc>
          <w:tcPr>
            <w:tcW w:w="8129" w:type="dxa"/>
            <w:gridSpan w:val="1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严格按照国库集中支付管理规定支付资金。</w:t>
            </w:r>
          </w:p>
        </w:tc>
      </w:tr>
      <w:tr>
        <w:tblPrEx>
          <w:shd w:val="clear" w:color="auto" w:fill="auto"/>
          <w:tblCellMar>
            <w:top w:w="0" w:type="dxa"/>
            <w:left w:w="0" w:type="dxa"/>
            <w:bottom w:w="0" w:type="dxa"/>
            <w:right w:w="0" w:type="dxa"/>
          </w:tblCellMar>
        </w:tblPrEx>
        <w:trPr>
          <w:trHeight w:val="1002" w:hRule="atLeast"/>
        </w:trPr>
        <w:tc>
          <w:tcPr>
            <w:tcW w:w="1414" w:type="dxa"/>
            <w:gridSpan w:val="3"/>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备注</w:t>
            </w:r>
          </w:p>
        </w:tc>
        <w:tc>
          <w:tcPr>
            <w:tcW w:w="8129" w:type="dxa"/>
            <w:gridSpan w:val="1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r>
      <w:tr>
        <w:tblPrEx>
          <w:tblCellMar>
            <w:top w:w="0" w:type="dxa"/>
            <w:left w:w="0" w:type="dxa"/>
            <w:bottom w:w="0" w:type="dxa"/>
            <w:right w:w="0" w:type="dxa"/>
          </w:tblCellMar>
        </w:tblPrEx>
        <w:trPr>
          <w:trHeight w:val="540" w:hRule="atLeast"/>
        </w:trPr>
        <w:tc>
          <w:tcPr>
            <w:tcW w:w="1414" w:type="dxa"/>
            <w:gridSpan w:val="3"/>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项目资金来源（全口径）</w:t>
            </w:r>
          </w:p>
        </w:tc>
        <w:tc>
          <w:tcPr>
            <w:tcW w:w="714"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合计</w:t>
            </w:r>
          </w:p>
        </w:tc>
        <w:tc>
          <w:tcPr>
            <w:tcW w:w="1516"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120</w:t>
            </w:r>
          </w:p>
        </w:tc>
        <w:tc>
          <w:tcPr>
            <w:tcW w:w="39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中央拨款</w:t>
            </w:r>
          </w:p>
        </w:tc>
        <w:tc>
          <w:tcPr>
            <w:tcW w:w="39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w:t>
            </w:r>
          </w:p>
        </w:tc>
        <w:tc>
          <w:tcPr>
            <w:tcW w:w="958"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自治区拨款</w:t>
            </w:r>
          </w:p>
        </w:tc>
        <w:tc>
          <w:tcPr>
            <w:tcW w:w="632"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w:t>
            </w:r>
          </w:p>
        </w:tc>
        <w:tc>
          <w:tcPr>
            <w:tcW w:w="1020"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市本级拨款</w:t>
            </w:r>
          </w:p>
        </w:tc>
        <w:tc>
          <w:tcPr>
            <w:tcW w:w="57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120.00</w:t>
            </w:r>
          </w:p>
        </w:tc>
        <w:tc>
          <w:tcPr>
            <w:tcW w:w="66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其他（非本级）</w:t>
            </w:r>
          </w:p>
        </w:tc>
        <w:tc>
          <w:tcPr>
            <w:tcW w:w="1279"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w:t>
            </w:r>
          </w:p>
        </w:tc>
      </w:tr>
      <w:tr>
        <w:tblPrEx>
          <w:tblCellMar>
            <w:top w:w="0" w:type="dxa"/>
            <w:left w:w="0" w:type="dxa"/>
            <w:bottom w:w="0" w:type="dxa"/>
            <w:right w:w="0" w:type="dxa"/>
          </w:tblCellMar>
        </w:tblPrEx>
        <w:trPr>
          <w:trHeight w:val="540" w:hRule="atLeast"/>
        </w:trPr>
        <w:tc>
          <w:tcPr>
            <w:tcW w:w="9543" w:type="dxa"/>
            <w:gridSpan w:val="16"/>
            <w:tcBorders>
              <w:top w:val="single" w:color="000000" w:sz="4" w:space="0"/>
              <w:left w:val="nil"/>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18"/>
                <w:szCs w:val="18"/>
                <w:u w:val="none"/>
              </w:rPr>
            </w:pPr>
            <w:r>
              <w:rPr>
                <w:rFonts w:hint="eastAsia" w:ascii="宋体" w:hAnsi="宋体" w:eastAsia="宋体" w:cs="宋体"/>
                <w:b/>
                <w:i w:val="0"/>
                <w:color w:val="auto"/>
                <w:kern w:val="0"/>
                <w:sz w:val="18"/>
                <w:szCs w:val="18"/>
                <w:u w:val="none"/>
                <w:lang w:val="en-US" w:eastAsia="zh-CN" w:bidi="ar"/>
              </w:rPr>
              <w:t>三、绩效目标情况</w:t>
            </w:r>
          </w:p>
        </w:tc>
      </w:tr>
      <w:tr>
        <w:tblPrEx>
          <w:tblCellMar>
            <w:top w:w="0" w:type="dxa"/>
            <w:left w:w="0" w:type="dxa"/>
            <w:bottom w:w="0" w:type="dxa"/>
            <w:right w:w="0" w:type="dxa"/>
          </w:tblCellMar>
        </w:tblPrEx>
        <w:trPr>
          <w:trHeight w:val="1422" w:hRule="atLeast"/>
        </w:trPr>
        <w:tc>
          <w:tcPr>
            <w:tcW w:w="994" w:type="dxa"/>
            <w:tcBorders>
              <w:top w:val="nil"/>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一级指标</w:t>
            </w:r>
          </w:p>
        </w:tc>
        <w:tc>
          <w:tcPr>
            <w:tcW w:w="21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二级指标</w:t>
            </w:r>
          </w:p>
        </w:tc>
        <w:tc>
          <w:tcPr>
            <w:tcW w:w="21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权重</w:t>
            </w:r>
          </w:p>
        </w:tc>
        <w:tc>
          <w:tcPr>
            <w:tcW w:w="714"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得分</w:t>
            </w:r>
          </w:p>
        </w:tc>
        <w:tc>
          <w:tcPr>
            <w:tcW w:w="1516"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xml:space="preserve">得分(理由)依据 </w:t>
            </w:r>
          </w:p>
        </w:tc>
        <w:tc>
          <w:tcPr>
            <w:tcW w:w="1350" w:type="dxa"/>
            <w:gridSpan w:val="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预期目标</w:t>
            </w:r>
          </w:p>
        </w:tc>
        <w:tc>
          <w:tcPr>
            <w:tcW w:w="1020" w:type="dxa"/>
            <w:gridSpan w:val="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实际结果</w:t>
            </w:r>
          </w:p>
        </w:tc>
        <w:tc>
          <w:tcPr>
            <w:tcW w:w="1020"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指标说明</w:t>
            </w:r>
          </w:p>
        </w:tc>
        <w:tc>
          <w:tcPr>
            <w:tcW w:w="1230"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评分标准</w:t>
            </w:r>
          </w:p>
        </w:tc>
        <w:tc>
          <w:tcPr>
            <w:tcW w:w="1279" w:type="dxa"/>
            <w:tcBorders>
              <w:top w:val="nil"/>
              <w:left w:val="nil"/>
              <w:bottom w:val="nil"/>
              <w:right w:val="nil"/>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　</w:t>
            </w:r>
          </w:p>
        </w:tc>
      </w:tr>
      <w:tr>
        <w:tblPrEx>
          <w:tblCellMar>
            <w:top w:w="0" w:type="dxa"/>
            <w:left w:w="0" w:type="dxa"/>
            <w:bottom w:w="0" w:type="dxa"/>
            <w:right w:w="0" w:type="dxa"/>
          </w:tblCellMar>
        </w:tblPrEx>
        <w:trPr>
          <w:trHeight w:val="1422" w:hRule="atLeast"/>
        </w:trPr>
        <w:tc>
          <w:tcPr>
            <w:tcW w:w="994" w:type="dxa"/>
            <w:vMerge w:val="restart"/>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产出指标</w:t>
            </w:r>
          </w:p>
        </w:tc>
        <w:tc>
          <w:tcPr>
            <w:tcW w:w="21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质量指标</w:t>
            </w:r>
          </w:p>
        </w:tc>
        <w:tc>
          <w:tcPr>
            <w:tcW w:w="21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13</w:t>
            </w:r>
          </w:p>
        </w:tc>
        <w:tc>
          <w:tcPr>
            <w:tcW w:w="71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13.00</w:t>
            </w:r>
          </w:p>
        </w:tc>
        <w:tc>
          <w:tcPr>
            <w:tcW w:w="151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完成《呼伦贝尔市城市总体规划（2017-2035年）》最终成果</w:t>
            </w:r>
          </w:p>
        </w:tc>
        <w:tc>
          <w:tcPr>
            <w:tcW w:w="1350"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按照《城市规划编制办法实施细则》要求，《呼伦贝尔市城市总体规划（2012-2030年）》评估及修改最终成果的分析研究内容全面、合理、深入</w:t>
            </w:r>
          </w:p>
        </w:tc>
        <w:tc>
          <w:tcPr>
            <w:tcW w:w="1020"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完成《呼伦贝尔市城市总体规划（2017-2035年）》最终成果</w:t>
            </w:r>
          </w:p>
        </w:tc>
        <w:tc>
          <w:tcPr>
            <w:tcW w:w="1020"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评价项目是否进行验收，验收情况。验收合格得满分，不合格0分</w:t>
            </w:r>
          </w:p>
        </w:tc>
        <w:tc>
          <w:tcPr>
            <w:tcW w:w="1230"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项目完成的质量验收情况，用以反映和考核项目产出质量目标的实现程度</w:t>
            </w:r>
          </w:p>
        </w:tc>
        <w:tc>
          <w:tcPr>
            <w:tcW w:w="1279"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tblCellMar>
            <w:top w:w="0" w:type="dxa"/>
            <w:left w:w="0" w:type="dxa"/>
            <w:bottom w:w="0" w:type="dxa"/>
            <w:right w:w="0" w:type="dxa"/>
          </w:tblCellMar>
        </w:tblPrEx>
        <w:trPr>
          <w:trHeight w:val="1422" w:hRule="atLeast"/>
        </w:trPr>
        <w:tc>
          <w:tcPr>
            <w:tcW w:w="994" w:type="dxa"/>
            <w:vMerge w:val="continue"/>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21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数量指标</w:t>
            </w:r>
          </w:p>
        </w:tc>
        <w:tc>
          <w:tcPr>
            <w:tcW w:w="21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13</w:t>
            </w:r>
          </w:p>
        </w:tc>
        <w:tc>
          <w:tcPr>
            <w:tcW w:w="71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13.00</w:t>
            </w:r>
          </w:p>
        </w:tc>
        <w:tc>
          <w:tcPr>
            <w:tcW w:w="151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完成呼伦贝尔市空间战略发展研究报告、总规实施评估报告和强制性内容修改专题报告、总规修改法定文件、五大专题研究报告，全部技术成果6套，含有全部文字和图纸内容的光盘一套</w:t>
            </w:r>
          </w:p>
        </w:tc>
        <w:tc>
          <w:tcPr>
            <w:tcW w:w="1350"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完成呼伦贝尔市空间战略发展研究报告、总规实施评估报告和强制性内容修改专题报告、总规修改法定文件、五大专题研究报告，全部技术成果6套，含有全部文字和图纸内容的光盘一套</w:t>
            </w:r>
          </w:p>
        </w:tc>
        <w:tc>
          <w:tcPr>
            <w:tcW w:w="1020"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完成呼伦贝尔市空间战略发展研究报告、总规实施评估报告和强制性内容修改专题报告、总规修改法定文件、五大专题研究报告，全部技术成果6套，含有全部文字和图纸内容的光盘一套</w:t>
            </w:r>
          </w:p>
        </w:tc>
        <w:tc>
          <w:tcPr>
            <w:tcW w:w="1020"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xml:space="preserve"> 实际产出数：一定时期（本年度或项目期）内项目实际产出的产品或提供的服务数量。 计划产出数：项目绩效目标确定的在一定时期（本年度或项目期）内计划产出的产品或提供的服务数量。实际完成率=（实际产出数/计划产出数）×100%。100%得满分，90%以上得指标分值的60%，80%以上得20%，低于80%得0分</w:t>
            </w:r>
          </w:p>
        </w:tc>
        <w:tc>
          <w:tcPr>
            <w:tcW w:w="1230"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项目实施的计划产出数，用以反映和考核项目产出数量目标的实现程度</w:t>
            </w:r>
          </w:p>
        </w:tc>
        <w:tc>
          <w:tcPr>
            <w:tcW w:w="1279"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tblCellMar>
            <w:top w:w="0" w:type="dxa"/>
            <w:left w:w="0" w:type="dxa"/>
            <w:bottom w:w="0" w:type="dxa"/>
            <w:right w:w="0" w:type="dxa"/>
          </w:tblCellMar>
        </w:tblPrEx>
        <w:trPr>
          <w:trHeight w:val="1422" w:hRule="atLeast"/>
        </w:trPr>
        <w:tc>
          <w:tcPr>
            <w:tcW w:w="994" w:type="dxa"/>
            <w:vMerge w:val="continue"/>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21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时效指标</w:t>
            </w:r>
          </w:p>
        </w:tc>
        <w:tc>
          <w:tcPr>
            <w:tcW w:w="21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12</w:t>
            </w:r>
          </w:p>
        </w:tc>
        <w:tc>
          <w:tcPr>
            <w:tcW w:w="71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12.00</w:t>
            </w:r>
          </w:p>
        </w:tc>
        <w:tc>
          <w:tcPr>
            <w:tcW w:w="151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2019年底前完成《呼伦贝尔市城市总体规划（2017-2035年）》最终成果</w:t>
            </w:r>
          </w:p>
        </w:tc>
        <w:tc>
          <w:tcPr>
            <w:tcW w:w="1350"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2019年底前完成《呼伦贝尔市城市总体规划（2017-2035年）》最终成果</w:t>
            </w:r>
          </w:p>
        </w:tc>
        <w:tc>
          <w:tcPr>
            <w:tcW w:w="1020"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2019年底前完成《呼伦贝尔市城市总体规划（2017-2035年）》最终成果</w:t>
            </w:r>
          </w:p>
        </w:tc>
        <w:tc>
          <w:tcPr>
            <w:tcW w:w="1020"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完成及时率=[（计划完成时间-实际完成时间）/计划完成时间]×100%。 实际完成时间：项目实施单位完成该项目实际所耗用的时间。 计划完成时间：按照项目实施计划或相关规定完成该项目所需的时间。全部执行政府采购的得满分，应执行未执行的不得分。</w:t>
            </w:r>
          </w:p>
        </w:tc>
        <w:tc>
          <w:tcPr>
            <w:tcW w:w="1230"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项目实际提前完成时间与计划完成时间的比率，用以反映和考核项目产出时效目标的实现程度</w:t>
            </w:r>
          </w:p>
        </w:tc>
        <w:tc>
          <w:tcPr>
            <w:tcW w:w="1279"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tblCellMar>
            <w:top w:w="0" w:type="dxa"/>
            <w:left w:w="0" w:type="dxa"/>
            <w:bottom w:w="0" w:type="dxa"/>
            <w:right w:w="0" w:type="dxa"/>
          </w:tblCellMar>
        </w:tblPrEx>
        <w:trPr>
          <w:trHeight w:val="1422" w:hRule="atLeast"/>
        </w:trPr>
        <w:tc>
          <w:tcPr>
            <w:tcW w:w="994" w:type="dxa"/>
            <w:vMerge w:val="continue"/>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21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成本指标</w:t>
            </w:r>
          </w:p>
        </w:tc>
        <w:tc>
          <w:tcPr>
            <w:tcW w:w="21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12</w:t>
            </w:r>
          </w:p>
        </w:tc>
        <w:tc>
          <w:tcPr>
            <w:tcW w:w="71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12.00</w:t>
            </w:r>
          </w:p>
        </w:tc>
        <w:tc>
          <w:tcPr>
            <w:tcW w:w="151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财政预算内完成最终成果</w:t>
            </w:r>
          </w:p>
        </w:tc>
        <w:tc>
          <w:tcPr>
            <w:tcW w:w="1350"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财政预算内完成最终成果</w:t>
            </w:r>
          </w:p>
        </w:tc>
        <w:tc>
          <w:tcPr>
            <w:tcW w:w="1020"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财政预算内完成最终成果</w:t>
            </w:r>
          </w:p>
        </w:tc>
        <w:tc>
          <w:tcPr>
            <w:tcW w:w="1020"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项目测算投资和预算对比情况。按项目实际情况酌情打分。</w:t>
            </w:r>
          </w:p>
        </w:tc>
        <w:tc>
          <w:tcPr>
            <w:tcW w:w="1230"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项目完成后的实际成本与预算对比情况</w:t>
            </w:r>
          </w:p>
        </w:tc>
        <w:tc>
          <w:tcPr>
            <w:tcW w:w="1279"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tblCellMar>
            <w:top w:w="0" w:type="dxa"/>
            <w:left w:w="0" w:type="dxa"/>
            <w:bottom w:w="0" w:type="dxa"/>
            <w:right w:w="0" w:type="dxa"/>
          </w:tblCellMar>
        </w:tblPrEx>
        <w:trPr>
          <w:trHeight w:val="1422" w:hRule="atLeast"/>
        </w:trPr>
        <w:tc>
          <w:tcPr>
            <w:tcW w:w="994"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满意度指标</w:t>
            </w:r>
          </w:p>
        </w:tc>
        <w:tc>
          <w:tcPr>
            <w:tcW w:w="21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社会公众或服务对象满意度</w:t>
            </w:r>
          </w:p>
        </w:tc>
        <w:tc>
          <w:tcPr>
            <w:tcW w:w="21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w:t>
            </w:r>
          </w:p>
        </w:tc>
        <w:tc>
          <w:tcPr>
            <w:tcW w:w="71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10.00</w:t>
            </w:r>
          </w:p>
        </w:tc>
        <w:tc>
          <w:tcPr>
            <w:tcW w:w="151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财政预算内完成最终成果</w:t>
            </w:r>
          </w:p>
        </w:tc>
        <w:tc>
          <w:tcPr>
            <w:tcW w:w="1350"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社会公众或服务对象满意度良好</w:t>
            </w:r>
          </w:p>
        </w:tc>
        <w:tc>
          <w:tcPr>
            <w:tcW w:w="1020"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财政预算内完成最终成果</w:t>
            </w:r>
          </w:p>
        </w:tc>
        <w:tc>
          <w:tcPr>
            <w:tcW w:w="1020"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社会公众或服务对象是指因该项目实施而受到影响的部门（单位）、群体或个人。一般采取社会调查的方式。</w:t>
            </w:r>
          </w:p>
        </w:tc>
        <w:tc>
          <w:tcPr>
            <w:tcW w:w="1230"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社会公众或服务对象对项目实施效果的满意程度</w:t>
            </w:r>
          </w:p>
        </w:tc>
        <w:tc>
          <w:tcPr>
            <w:tcW w:w="1279"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tblCellMar>
            <w:top w:w="0" w:type="dxa"/>
            <w:left w:w="0" w:type="dxa"/>
            <w:bottom w:w="0" w:type="dxa"/>
            <w:right w:w="0" w:type="dxa"/>
          </w:tblCellMar>
        </w:tblPrEx>
        <w:trPr>
          <w:trHeight w:val="1422" w:hRule="atLeast"/>
        </w:trPr>
        <w:tc>
          <w:tcPr>
            <w:tcW w:w="994" w:type="dxa"/>
            <w:vMerge w:val="restart"/>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效益指标</w:t>
            </w:r>
          </w:p>
        </w:tc>
        <w:tc>
          <w:tcPr>
            <w:tcW w:w="21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经济效益</w:t>
            </w:r>
          </w:p>
        </w:tc>
        <w:tc>
          <w:tcPr>
            <w:tcW w:w="21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w:t>
            </w:r>
          </w:p>
        </w:tc>
        <w:tc>
          <w:tcPr>
            <w:tcW w:w="71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10.00</w:t>
            </w:r>
          </w:p>
        </w:tc>
        <w:tc>
          <w:tcPr>
            <w:tcW w:w="151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经济效益良好</w:t>
            </w:r>
          </w:p>
        </w:tc>
        <w:tc>
          <w:tcPr>
            <w:tcW w:w="1350"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经济效益良好</w:t>
            </w:r>
          </w:p>
        </w:tc>
        <w:tc>
          <w:tcPr>
            <w:tcW w:w="1020"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经济效益良好</w:t>
            </w:r>
          </w:p>
        </w:tc>
        <w:tc>
          <w:tcPr>
            <w:tcW w:w="1020"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可根据项目实际并结合绩效目标设立情况有选择的进行设置，并将其细化为相应的个性化指标。</w:t>
            </w:r>
          </w:p>
        </w:tc>
        <w:tc>
          <w:tcPr>
            <w:tcW w:w="1230"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项目实施对经济发展所带来的直接或间接影响情况</w:t>
            </w:r>
          </w:p>
        </w:tc>
        <w:tc>
          <w:tcPr>
            <w:tcW w:w="1279"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tblCellMar>
            <w:top w:w="0" w:type="dxa"/>
            <w:left w:w="0" w:type="dxa"/>
            <w:bottom w:w="0" w:type="dxa"/>
            <w:right w:w="0" w:type="dxa"/>
          </w:tblCellMar>
        </w:tblPrEx>
        <w:trPr>
          <w:trHeight w:val="1422" w:hRule="atLeast"/>
        </w:trPr>
        <w:tc>
          <w:tcPr>
            <w:tcW w:w="994" w:type="dxa"/>
            <w:vMerge w:val="continue"/>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21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社会效益</w:t>
            </w:r>
          </w:p>
        </w:tc>
        <w:tc>
          <w:tcPr>
            <w:tcW w:w="21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w:t>
            </w:r>
          </w:p>
        </w:tc>
        <w:tc>
          <w:tcPr>
            <w:tcW w:w="71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10.00</w:t>
            </w:r>
          </w:p>
        </w:tc>
        <w:tc>
          <w:tcPr>
            <w:tcW w:w="151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社会效益良好</w:t>
            </w:r>
          </w:p>
        </w:tc>
        <w:tc>
          <w:tcPr>
            <w:tcW w:w="1350"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社会效益良好</w:t>
            </w:r>
          </w:p>
        </w:tc>
        <w:tc>
          <w:tcPr>
            <w:tcW w:w="1020"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社会效益良好</w:t>
            </w:r>
          </w:p>
        </w:tc>
        <w:tc>
          <w:tcPr>
            <w:tcW w:w="1020"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可根据项目实际并结合绩效目标设立情况有选择的进行设置，并将其细化为相应的个性化指标。</w:t>
            </w:r>
          </w:p>
        </w:tc>
        <w:tc>
          <w:tcPr>
            <w:tcW w:w="1230"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项目实施对社会发展所带来的直接或间接影响情况</w:t>
            </w:r>
          </w:p>
        </w:tc>
        <w:tc>
          <w:tcPr>
            <w:tcW w:w="1279"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tblCellMar>
            <w:top w:w="0" w:type="dxa"/>
            <w:left w:w="0" w:type="dxa"/>
            <w:bottom w:w="0" w:type="dxa"/>
            <w:right w:w="0" w:type="dxa"/>
          </w:tblCellMar>
        </w:tblPrEx>
        <w:trPr>
          <w:trHeight w:val="1422" w:hRule="atLeast"/>
        </w:trPr>
        <w:tc>
          <w:tcPr>
            <w:tcW w:w="994" w:type="dxa"/>
            <w:vMerge w:val="continue"/>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21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生态效益</w:t>
            </w:r>
          </w:p>
        </w:tc>
        <w:tc>
          <w:tcPr>
            <w:tcW w:w="21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w:t>
            </w:r>
          </w:p>
        </w:tc>
        <w:tc>
          <w:tcPr>
            <w:tcW w:w="71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10.00</w:t>
            </w:r>
          </w:p>
        </w:tc>
        <w:tc>
          <w:tcPr>
            <w:tcW w:w="151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生态效益良好</w:t>
            </w:r>
          </w:p>
        </w:tc>
        <w:tc>
          <w:tcPr>
            <w:tcW w:w="1350"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生态效益良好</w:t>
            </w:r>
          </w:p>
        </w:tc>
        <w:tc>
          <w:tcPr>
            <w:tcW w:w="1020"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生态效益良好</w:t>
            </w:r>
          </w:p>
        </w:tc>
        <w:tc>
          <w:tcPr>
            <w:tcW w:w="1020"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xml:space="preserve">  可根据项目实际并结合绩效目标设立情况有选择的进行设置，并将其细化为相应的个性化指标。</w:t>
            </w:r>
          </w:p>
        </w:tc>
        <w:tc>
          <w:tcPr>
            <w:tcW w:w="1230"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项目实施对生态环境所带来的直接或间接影响情况</w:t>
            </w:r>
          </w:p>
        </w:tc>
        <w:tc>
          <w:tcPr>
            <w:tcW w:w="1279"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tblCellMar>
            <w:top w:w="0" w:type="dxa"/>
            <w:left w:w="0" w:type="dxa"/>
            <w:bottom w:w="0" w:type="dxa"/>
            <w:right w:w="0" w:type="dxa"/>
          </w:tblCellMar>
        </w:tblPrEx>
        <w:trPr>
          <w:trHeight w:val="1422" w:hRule="atLeast"/>
        </w:trPr>
        <w:tc>
          <w:tcPr>
            <w:tcW w:w="994" w:type="dxa"/>
            <w:vMerge w:val="continue"/>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21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可持续影响</w:t>
            </w:r>
          </w:p>
        </w:tc>
        <w:tc>
          <w:tcPr>
            <w:tcW w:w="21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w:t>
            </w:r>
          </w:p>
        </w:tc>
        <w:tc>
          <w:tcPr>
            <w:tcW w:w="71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10.00</w:t>
            </w:r>
          </w:p>
        </w:tc>
        <w:tc>
          <w:tcPr>
            <w:tcW w:w="151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可持续影响良好</w:t>
            </w:r>
          </w:p>
        </w:tc>
        <w:tc>
          <w:tcPr>
            <w:tcW w:w="1350"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可持续影响良好</w:t>
            </w:r>
          </w:p>
        </w:tc>
        <w:tc>
          <w:tcPr>
            <w:tcW w:w="1020"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可持续影响良好</w:t>
            </w:r>
          </w:p>
        </w:tc>
        <w:tc>
          <w:tcPr>
            <w:tcW w:w="1020"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可根据项目实际并结合绩效目标设立情况有选择的进行设置，并将其细化为相应的个性化指标。</w:t>
            </w:r>
          </w:p>
        </w:tc>
        <w:tc>
          <w:tcPr>
            <w:tcW w:w="1230"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项目后续运行及成效发挥的可持续影响情况</w:t>
            </w:r>
          </w:p>
        </w:tc>
        <w:tc>
          <w:tcPr>
            <w:tcW w:w="1279"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tblCellMar>
            <w:top w:w="0" w:type="dxa"/>
            <w:left w:w="0" w:type="dxa"/>
            <w:bottom w:w="0" w:type="dxa"/>
            <w:right w:w="0" w:type="dxa"/>
          </w:tblCellMar>
        </w:tblPrEx>
        <w:trPr>
          <w:trHeight w:val="552" w:hRule="atLeast"/>
        </w:trPr>
        <w:tc>
          <w:tcPr>
            <w:tcW w:w="9543" w:type="dxa"/>
            <w:gridSpan w:val="1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18"/>
                <w:szCs w:val="18"/>
                <w:u w:val="none"/>
              </w:rPr>
            </w:pPr>
            <w:r>
              <w:rPr>
                <w:rFonts w:hint="eastAsia" w:ascii="宋体" w:hAnsi="宋体" w:eastAsia="宋体" w:cs="宋体"/>
                <w:b/>
                <w:i w:val="0"/>
                <w:color w:val="auto"/>
                <w:kern w:val="0"/>
                <w:sz w:val="18"/>
                <w:szCs w:val="18"/>
                <w:u w:val="none"/>
                <w:lang w:val="en-US" w:eastAsia="zh-CN" w:bidi="ar"/>
              </w:rPr>
              <w:t>四、项目绩效综合评价意见</w:t>
            </w:r>
          </w:p>
        </w:tc>
      </w:tr>
      <w:tr>
        <w:tblPrEx>
          <w:tblCellMar>
            <w:top w:w="0" w:type="dxa"/>
            <w:left w:w="0" w:type="dxa"/>
            <w:bottom w:w="0" w:type="dxa"/>
            <w:right w:w="0" w:type="dxa"/>
          </w:tblCellMar>
        </w:tblPrEx>
        <w:trPr>
          <w:trHeight w:val="402" w:hRule="atLeast"/>
        </w:trPr>
        <w:tc>
          <w:tcPr>
            <w:tcW w:w="1414" w:type="dxa"/>
            <w:gridSpan w:val="3"/>
            <w:vMerge w:val="restart"/>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评价组成员</w:t>
            </w:r>
          </w:p>
        </w:tc>
        <w:tc>
          <w:tcPr>
            <w:tcW w:w="2230"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姓名</w:t>
            </w:r>
          </w:p>
        </w:tc>
        <w:tc>
          <w:tcPr>
            <w:tcW w:w="1738" w:type="dxa"/>
            <w:gridSpan w:val="4"/>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职称</w:t>
            </w:r>
          </w:p>
        </w:tc>
        <w:tc>
          <w:tcPr>
            <w:tcW w:w="2882" w:type="dxa"/>
            <w:gridSpan w:val="6"/>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工作单位</w:t>
            </w:r>
          </w:p>
        </w:tc>
        <w:tc>
          <w:tcPr>
            <w:tcW w:w="1279"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签名</w:t>
            </w:r>
          </w:p>
        </w:tc>
      </w:tr>
      <w:tr>
        <w:tblPrEx>
          <w:tblCellMar>
            <w:top w:w="0" w:type="dxa"/>
            <w:left w:w="0" w:type="dxa"/>
            <w:bottom w:w="0" w:type="dxa"/>
            <w:right w:w="0" w:type="dxa"/>
          </w:tblCellMar>
        </w:tblPrEx>
        <w:trPr>
          <w:trHeight w:val="402" w:hRule="atLeast"/>
        </w:trPr>
        <w:tc>
          <w:tcPr>
            <w:tcW w:w="1414" w:type="dxa"/>
            <w:gridSpan w:val="3"/>
            <w:vMerge w:val="continue"/>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2230"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王海东</w:t>
            </w:r>
          </w:p>
        </w:tc>
        <w:tc>
          <w:tcPr>
            <w:tcW w:w="1738" w:type="dxa"/>
            <w:gridSpan w:val="4"/>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国土空间规划科科长</w:t>
            </w:r>
          </w:p>
        </w:tc>
        <w:tc>
          <w:tcPr>
            <w:tcW w:w="2882" w:type="dxa"/>
            <w:gridSpan w:val="6"/>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呼伦贝尔市自然资源局</w:t>
            </w:r>
          </w:p>
        </w:tc>
        <w:tc>
          <w:tcPr>
            <w:tcW w:w="1279"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r>
      <w:tr>
        <w:tblPrEx>
          <w:tblCellMar>
            <w:top w:w="0" w:type="dxa"/>
            <w:left w:w="0" w:type="dxa"/>
            <w:bottom w:w="0" w:type="dxa"/>
            <w:right w:w="0" w:type="dxa"/>
          </w:tblCellMar>
        </w:tblPrEx>
        <w:trPr>
          <w:trHeight w:val="402" w:hRule="atLeast"/>
        </w:trPr>
        <w:tc>
          <w:tcPr>
            <w:tcW w:w="1414" w:type="dxa"/>
            <w:gridSpan w:val="3"/>
            <w:vMerge w:val="continue"/>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2230"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宫春</w:t>
            </w:r>
          </w:p>
        </w:tc>
        <w:tc>
          <w:tcPr>
            <w:tcW w:w="1738" w:type="dxa"/>
            <w:gridSpan w:val="4"/>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财务审计科科员</w:t>
            </w:r>
          </w:p>
        </w:tc>
        <w:tc>
          <w:tcPr>
            <w:tcW w:w="2882" w:type="dxa"/>
            <w:gridSpan w:val="6"/>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呼伦贝尔市自然资源局</w:t>
            </w:r>
          </w:p>
        </w:tc>
        <w:tc>
          <w:tcPr>
            <w:tcW w:w="1279"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r>
      <w:tr>
        <w:tblPrEx>
          <w:tblCellMar>
            <w:top w:w="0" w:type="dxa"/>
            <w:left w:w="0" w:type="dxa"/>
            <w:bottom w:w="0" w:type="dxa"/>
            <w:right w:w="0" w:type="dxa"/>
          </w:tblCellMar>
        </w:tblPrEx>
        <w:trPr>
          <w:trHeight w:val="402" w:hRule="atLeast"/>
        </w:trPr>
        <w:tc>
          <w:tcPr>
            <w:tcW w:w="1414" w:type="dxa"/>
            <w:gridSpan w:val="3"/>
            <w:vMerge w:val="continue"/>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2230"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王安</w:t>
            </w:r>
          </w:p>
        </w:tc>
        <w:tc>
          <w:tcPr>
            <w:tcW w:w="1738" w:type="dxa"/>
            <w:gridSpan w:val="4"/>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国土空间规划科科员</w:t>
            </w:r>
          </w:p>
        </w:tc>
        <w:tc>
          <w:tcPr>
            <w:tcW w:w="2882" w:type="dxa"/>
            <w:gridSpan w:val="6"/>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呼伦贝尔市自然资源局</w:t>
            </w:r>
          </w:p>
        </w:tc>
        <w:tc>
          <w:tcPr>
            <w:tcW w:w="1279"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r>
      <w:tr>
        <w:tblPrEx>
          <w:tblCellMar>
            <w:top w:w="0" w:type="dxa"/>
            <w:left w:w="0" w:type="dxa"/>
            <w:bottom w:w="0" w:type="dxa"/>
            <w:right w:w="0" w:type="dxa"/>
          </w:tblCellMar>
        </w:tblPrEx>
        <w:trPr>
          <w:trHeight w:val="627" w:hRule="atLeast"/>
        </w:trPr>
        <w:tc>
          <w:tcPr>
            <w:tcW w:w="1414" w:type="dxa"/>
            <w:gridSpan w:val="3"/>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综合评价得分</w:t>
            </w:r>
          </w:p>
        </w:tc>
        <w:tc>
          <w:tcPr>
            <w:tcW w:w="8129" w:type="dxa"/>
            <w:gridSpan w:val="1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100.00</w:t>
            </w:r>
          </w:p>
        </w:tc>
      </w:tr>
      <w:tr>
        <w:tblPrEx>
          <w:tblCellMar>
            <w:top w:w="0" w:type="dxa"/>
            <w:left w:w="0" w:type="dxa"/>
            <w:bottom w:w="0" w:type="dxa"/>
            <w:right w:w="0" w:type="dxa"/>
          </w:tblCellMar>
        </w:tblPrEx>
        <w:trPr>
          <w:trHeight w:val="709" w:hRule="atLeast"/>
        </w:trPr>
        <w:tc>
          <w:tcPr>
            <w:tcW w:w="1414" w:type="dxa"/>
            <w:gridSpan w:val="3"/>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综合绩效等级</w:t>
            </w:r>
          </w:p>
        </w:tc>
        <w:tc>
          <w:tcPr>
            <w:tcW w:w="8129" w:type="dxa"/>
            <w:gridSpan w:val="1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优</w:t>
            </w:r>
          </w:p>
        </w:tc>
      </w:tr>
      <w:tr>
        <w:tblPrEx>
          <w:tblCellMar>
            <w:top w:w="0" w:type="dxa"/>
            <w:left w:w="0" w:type="dxa"/>
            <w:bottom w:w="0" w:type="dxa"/>
            <w:right w:w="0" w:type="dxa"/>
          </w:tblCellMar>
        </w:tblPrEx>
        <w:trPr>
          <w:trHeight w:val="720" w:hRule="atLeast"/>
        </w:trPr>
        <w:tc>
          <w:tcPr>
            <w:tcW w:w="1414" w:type="dxa"/>
            <w:gridSpan w:val="3"/>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综合评价意见</w:t>
            </w:r>
          </w:p>
        </w:tc>
        <w:tc>
          <w:tcPr>
            <w:tcW w:w="8129" w:type="dxa"/>
            <w:gridSpan w:val="1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优秀</w:t>
            </w:r>
          </w:p>
        </w:tc>
      </w:tr>
      <w:tr>
        <w:tblPrEx>
          <w:tblCellMar>
            <w:top w:w="0" w:type="dxa"/>
            <w:left w:w="0" w:type="dxa"/>
            <w:bottom w:w="0" w:type="dxa"/>
            <w:right w:w="0" w:type="dxa"/>
          </w:tblCellMar>
        </w:tblPrEx>
        <w:trPr>
          <w:trHeight w:val="709" w:hRule="atLeast"/>
        </w:trPr>
        <w:tc>
          <w:tcPr>
            <w:tcW w:w="1414" w:type="dxa"/>
            <w:gridSpan w:val="3"/>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综合评价问题</w:t>
            </w:r>
          </w:p>
        </w:tc>
        <w:tc>
          <w:tcPr>
            <w:tcW w:w="8129" w:type="dxa"/>
            <w:gridSpan w:val="1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无</w:t>
            </w:r>
          </w:p>
        </w:tc>
      </w:tr>
      <w:tr>
        <w:tblPrEx>
          <w:tblCellMar>
            <w:top w:w="0" w:type="dxa"/>
            <w:left w:w="0" w:type="dxa"/>
            <w:bottom w:w="0" w:type="dxa"/>
            <w:right w:w="0" w:type="dxa"/>
          </w:tblCellMar>
        </w:tblPrEx>
        <w:trPr>
          <w:trHeight w:val="312" w:hRule="atLeast"/>
        </w:trPr>
        <w:tc>
          <w:tcPr>
            <w:tcW w:w="9543" w:type="dxa"/>
            <w:gridSpan w:val="16"/>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18"/>
                <w:szCs w:val="18"/>
                <w:u w:val="none"/>
              </w:rPr>
            </w:pPr>
            <w:r>
              <w:rPr>
                <w:rFonts w:hint="eastAsia" w:ascii="宋体" w:hAnsi="宋体" w:eastAsia="宋体" w:cs="宋体"/>
                <w:b/>
                <w:i w:val="0"/>
                <w:color w:val="auto"/>
                <w:kern w:val="0"/>
                <w:sz w:val="18"/>
                <w:szCs w:val="18"/>
                <w:u w:val="none"/>
                <w:lang w:val="en-US" w:eastAsia="zh-CN" w:bidi="ar"/>
              </w:rPr>
              <w:t>审核意见</w:t>
            </w:r>
          </w:p>
        </w:tc>
      </w:tr>
      <w:tr>
        <w:tblPrEx>
          <w:tblCellMar>
            <w:top w:w="0" w:type="dxa"/>
            <w:left w:w="0" w:type="dxa"/>
            <w:bottom w:w="0" w:type="dxa"/>
            <w:right w:w="0" w:type="dxa"/>
          </w:tblCellMar>
        </w:tblPrEx>
        <w:trPr>
          <w:trHeight w:val="1602" w:hRule="atLeast"/>
        </w:trPr>
        <w:tc>
          <w:tcPr>
            <w:tcW w:w="1414" w:type="dxa"/>
            <w:gridSpan w:val="3"/>
            <w:vMerge w:val="restart"/>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申报单位签章</w:t>
            </w:r>
          </w:p>
        </w:tc>
        <w:tc>
          <w:tcPr>
            <w:tcW w:w="3580" w:type="dxa"/>
            <w:gridSpan w:val="5"/>
            <w:tcBorders>
              <w:top w:val="single" w:color="000000" w:sz="4" w:space="0"/>
              <w:left w:val="nil"/>
              <w:bottom w:val="nil"/>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提交评审</w:t>
            </w:r>
          </w:p>
        </w:tc>
        <w:tc>
          <w:tcPr>
            <w:tcW w:w="1380" w:type="dxa"/>
            <w:gridSpan w:val="4"/>
            <w:vMerge w:val="restart"/>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业务科室审核意见</w:t>
            </w:r>
          </w:p>
        </w:tc>
        <w:tc>
          <w:tcPr>
            <w:tcW w:w="3169" w:type="dxa"/>
            <w:gridSpan w:val="4"/>
            <w:tcBorders>
              <w:top w:val="single" w:color="000000" w:sz="4" w:space="0"/>
              <w:left w:val="nil"/>
              <w:bottom w:val="nil"/>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通过</w:t>
            </w:r>
          </w:p>
        </w:tc>
      </w:tr>
      <w:tr>
        <w:tblPrEx>
          <w:tblCellMar>
            <w:top w:w="0" w:type="dxa"/>
            <w:left w:w="0" w:type="dxa"/>
            <w:bottom w:w="0" w:type="dxa"/>
            <w:right w:w="0" w:type="dxa"/>
          </w:tblCellMar>
        </w:tblPrEx>
        <w:trPr>
          <w:trHeight w:val="559" w:hRule="atLeast"/>
        </w:trPr>
        <w:tc>
          <w:tcPr>
            <w:tcW w:w="1414" w:type="dxa"/>
            <w:gridSpan w:val="3"/>
            <w:vMerge w:val="continue"/>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jc w:val="left"/>
              <w:rPr>
                <w:rFonts w:hint="eastAsia" w:ascii="宋体" w:hAnsi="宋体" w:eastAsia="宋体" w:cs="宋体"/>
                <w:i w:val="0"/>
                <w:color w:val="auto"/>
                <w:sz w:val="18"/>
                <w:szCs w:val="18"/>
                <w:u w:val="none"/>
              </w:rPr>
            </w:pPr>
          </w:p>
        </w:tc>
        <w:tc>
          <w:tcPr>
            <w:tcW w:w="3580" w:type="dxa"/>
            <w:gridSpan w:val="5"/>
            <w:tcBorders>
              <w:top w:val="nil"/>
              <w:left w:val="nil"/>
              <w:bottom w:val="nil"/>
              <w:right w:val="single" w:color="000000" w:sz="4" w:space="0"/>
            </w:tcBorders>
            <w:shd w:val="clear" w:color="000000" w:fill="FFFFFF"/>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xml:space="preserve">申报单位：呼伦贝尔市自然资源局  </w:t>
            </w:r>
          </w:p>
        </w:tc>
        <w:tc>
          <w:tcPr>
            <w:tcW w:w="1380" w:type="dxa"/>
            <w:gridSpan w:val="4"/>
            <w:vMerge w:val="continue"/>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jc w:val="left"/>
              <w:rPr>
                <w:rFonts w:hint="eastAsia" w:ascii="宋体" w:hAnsi="宋体" w:eastAsia="宋体" w:cs="宋体"/>
                <w:i w:val="0"/>
                <w:color w:val="auto"/>
                <w:sz w:val="18"/>
                <w:szCs w:val="18"/>
                <w:u w:val="none"/>
              </w:rPr>
            </w:pPr>
          </w:p>
        </w:tc>
        <w:tc>
          <w:tcPr>
            <w:tcW w:w="3169" w:type="dxa"/>
            <w:gridSpan w:val="4"/>
            <w:tcBorders>
              <w:top w:val="nil"/>
              <w:left w:val="nil"/>
              <w:bottom w:val="nil"/>
              <w:right w:val="single" w:color="000000" w:sz="4" w:space="0"/>
            </w:tcBorders>
            <w:shd w:val="clear" w:color="000000" w:fill="FFFFFF"/>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xml:space="preserve">审核人：自然资源科  </w:t>
            </w:r>
          </w:p>
        </w:tc>
      </w:tr>
      <w:tr>
        <w:tblPrEx>
          <w:tblCellMar>
            <w:top w:w="0" w:type="dxa"/>
            <w:left w:w="0" w:type="dxa"/>
            <w:bottom w:w="0" w:type="dxa"/>
            <w:right w:w="0" w:type="dxa"/>
          </w:tblCellMar>
        </w:tblPrEx>
        <w:trPr>
          <w:trHeight w:val="559" w:hRule="atLeast"/>
        </w:trPr>
        <w:tc>
          <w:tcPr>
            <w:tcW w:w="1414" w:type="dxa"/>
            <w:gridSpan w:val="3"/>
            <w:vMerge w:val="continue"/>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jc w:val="left"/>
              <w:rPr>
                <w:rFonts w:hint="eastAsia" w:ascii="宋体" w:hAnsi="宋体" w:eastAsia="宋体" w:cs="宋体"/>
                <w:i w:val="0"/>
                <w:color w:val="auto"/>
                <w:sz w:val="18"/>
                <w:szCs w:val="18"/>
                <w:u w:val="none"/>
              </w:rPr>
            </w:pPr>
          </w:p>
        </w:tc>
        <w:tc>
          <w:tcPr>
            <w:tcW w:w="3580" w:type="dxa"/>
            <w:gridSpan w:val="5"/>
            <w:tcBorders>
              <w:top w:val="nil"/>
              <w:left w:val="nil"/>
              <w:bottom w:val="single" w:color="000000" w:sz="4" w:space="0"/>
              <w:right w:val="single" w:color="000000" w:sz="4" w:space="0"/>
            </w:tcBorders>
            <w:shd w:val="clear" w:color="000000" w:fill="FFFFFF"/>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单位签章：                                      2020  年   4月   1日</w:t>
            </w:r>
          </w:p>
        </w:tc>
        <w:tc>
          <w:tcPr>
            <w:tcW w:w="1380" w:type="dxa"/>
            <w:gridSpan w:val="4"/>
            <w:vMerge w:val="continue"/>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jc w:val="left"/>
              <w:rPr>
                <w:rFonts w:hint="eastAsia" w:ascii="宋体" w:hAnsi="宋体" w:eastAsia="宋体" w:cs="宋体"/>
                <w:i w:val="0"/>
                <w:color w:val="auto"/>
                <w:sz w:val="18"/>
                <w:szCs w:val="18"/>
                <w:u w:val="none"/>
              </w:rPr>
            </w:pPr>
          </w:p>
        </w:tc>
        <w:tc>
          <w:tcPr>
            <w:tcW w:w="3169" w:type="dxa"/>
            <w:gridSpan w:val="4"/>
            <w:tcBorders>
              <w:top w:val="nil"/>
              <w:left w:val="nil"/>
              <w:bottom w:val="single" w:color="000000" w:sz="4" w:space="0"/>
              <w:right w:val="single" w:color="000000" w:sz="4" w:space="0"/>
            </w:tcBorders>
            <w:shd w:val="clear" w:color="000000" w:fill="FFFFFF"/>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科室签章：                                     2020  年   4月   1日</w:t>
            </w:r>
          </w:p>
        </w:tc>
      </w:tr>
      <w:tr>
        <w:tblPrEx>
          <w:tblCellMar>
            <w:top w:w="0" w:type="dxa"/>
            <w:left w:w="0" w:type="dxa"/>
            <w:bottom w:w="0" w:type="dxa"/>
            <w:right w:w="0" w:type="dxa"/>
          </w:tblCellMar>
        </w:tblPrEx>
        <w:trPr>
          <w:trHeight w:val="1602" w:hRule="atLeast"/>
        </w:trPr>
        <w:tc>
          <w:tcPr>
            <w:tcW w:w="1414" w:type="dxa"/>
            <w:gridSpan w:val="3"/>
            <w:vMerge w:val="restart"/>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主管部门负责人</w:t>
            </w:r>
          </w:p>
        </w:tc>
        <w:tc>
          <w:tcPr>
            <w:tcW w:w="3580" w:type="dxa"/>
            <w:gridSpan w:val="5"/>
            <w:tcBorders>
              <w:top w:val="single" w:color="000000" w:sz="4" w:space="0"/>
              <w:left w:val="nil"/>
              <w:bottom w:val="nil"/>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1380" w:type="dxa"/>
            <w:gridSpan w:val="4"/>
            <w:vMerge w:val="restart"/>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财政绩效中心审核意见</w:t>
            </w:r>
          </w:p>
        </w:tc>
        <w:tc>
          <w:tcPr>
            <w:tcW w:w="3169" w:type="dxa"/>
            <w:gridSpan w:val="4"/>
            <w:tcBorders>
              <w:top w:val="single" w:color="000000" w:sz="4" w:space="0"/>
              <w:left w:val="nil"/>
              <w:bottom w:val="nil"/>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同意</w:t>
            </w:r>
          </w:p>
        </w:tc>
      </w:tr>
      <w:tr>
        <w:tblPrEx>
          <w:tblCellMar>
            <w:top w:w="0" w:type="dxa"/>
            <w:left w:w="0" w:type="dxa"/>
            <w:bottom w:w="0" w:type="dxa"/>
            <w:right w:w="0" w:type="dxa"/>
          </w:tblCellMar>
        </w:tblPrEx>
        <w:trPr>
          <w:trHeight w:val="559" w:hRule="atLeast"/>
        </w:trPr>
        <w:tc>
          <w:tcPr>
            <w:tcW w:w="1414" w:type="dxa"/>
            <w:gridSpan w:val="3"/>
            <w:vMerge w:val="continue"/>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jc w:val="left"/>
              <w:rPr>
                <w:rFonts w:hint="eastAsia" w:ascii="宋体" w:hAnsi="宋体" w:eastAsia="宋体" w:cs="宋体"/>
                <w:i w:val="0"/>
                <w:color w:val="auto"/>
                <w:sz w:val="18"/>
                <w:szCs w:val="18"/>
                <w:u w:val="none"/>
              </w:rPr>
            </w:pPr>
          </w:p>
        </w:tc>
        <w:tc>
          <w:tcPr>
            <w:tcW w:w="3580" w:type="dxa"/>
            <w:gridSpan w:val="5"/>
            <w:tcBorders>
              <w:top w:val="nil"/>
              <w:left w:val="nil"/>
              <w:bottom w:val="nil"/>
              <w:right w:val="single" w:color="000000" w:sz="4" w:space="0"/>
            </w:tcBorders>
            <w:shd w:val="clear" w:color="000000" w:fill="FFFFFF"/>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xml:space="preserve">审核人：            </w:t>
            </w:r>
          </w:p>
        </w:tc>
        <w:tc>
          <w:tcPr>
            <w:tcW w:w="1380" w:type="dxa"/>
            <w:gridSpan w:val="4"/>
            <w:vMerge w:val="continue"/>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jc w:val="left"/>
              <w:rPr>
                <w:rFonts w:hint="eastAsia" w:ascii="宋体" w:hAnsi="宋体" w:eastAsia="宋体" w:cs="宋体"/>
                <w:i w:val="0"/>
                <w:color w:val="auto"/>
                <w:sz w:val="18"/>
                <w:szCs w:val="18"/>
                <w:u w:val="none"/>
              </w:rPr>
            </w:pPr>
          </w:p>
        </w:tc>
        <w:tc>
          <w:tcPr>
            <w:tcW w:w="3169" w:type="dxa"/>
            <w:gridSpan w:val="4"/>
            <w:tcBorders>
              <w:top w:val="nil"/>
              <w:left w:val="nil"/>
              <w:bottom w:val="nil"/>
              <w:right w:val="single" w:color="000000" w:sz="4" w:space="0"/>
            </w:tcBorders>
            <w:shd w:val="clear" w:color="000000" w:fill="FFFFFF"/>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xml:space="preserve">审核人：张秋萸  </w:t>
            </w:r>
          </w:p>
        </w:tc>
      </w:tr>
      <w:tr>
        <w:tblPrEx>
          <w:tblCellMar>
            <w:top w:w="0" w:type="dxa"/>
            <w:left w:w="0" w:type="dxa"/>
            <w:bottom w:w="0" w:type="dxa"/>
            <w:right w:w="0" w:type="dxa"/>
          </w:tblCellMar>
        </w:tblPrEx>
        <w:trPr>
          <w:trHeight w:val="559" w:hRule="atLeast"/>
        </w:trPr>
        <w:tc>
          <w:tcPr>
            <w:tcW w:w="1414" w:type="dxa"/>
            <w:gridSpan w:val="3"/>
            <w:vMerge w:val="continue"/>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jc w:val="left"/>
              <w:rPr>
                <w:rFonts w:hint="eastAsia" w:ascii="宋体" w:hAnsi="宋体" w:eastAsia="宋体" w:cs="宋体"/>
                <w:i w:val="0"/>
                <w:color w:val="auto"/>
                <w:sz w:val="18"/>
                <w:szCs w:val="18"/>
                <w:u w:val="none"/>
              </w:rPr>
            </w:pPr>
          </w:p>
        </w:tc>
        <w:tc>
          <w:tcPr>
            <w:tcW w:w="3580" w:type="dxa"/>
            <w:gridSpan w:val="5"/>
            <w:tcBorders>
              <w:top w:val="nil"/>
              <w:left w:val="nil"/>
              <w:bottom w:val="single" w:color="000000" w:sz="4" w:space="0"/>
              <w:right w:val="single" w:color="000000" w:sz="4" w:space="0"/>
            </w:tcBorders>
            <w:shd w:val="clear" w:color="000000" w:fill="FFFFFF"/>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单位签章：                                      年   月   日</w:t>
            </w:r>
          </w:p>
        </w:tc>
        <w:tc>
          <w:tcPr>
            <w:tcW w:w="1380" w:type="dxa"/>
            <w:gridSpan w:val="4"/>
            <w:vMerge w:val="continue"/>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jc w:val="left"/>
              <w:rPr>
                <w:rFonts w:hint="eastAsia" w:ascii="宋体" w:hAnsi="宋体" w:eastAsia="宋体" w:cs="宋体"/>
                <w:i w:val="0"/>
                <w:color w:val="auto"/>
                <w:sz w:val="18"/>
                <w:szCs w:val="18"/>
                <w:u w:val="none"/>
              </w:rPr>
            </w:pPr>
          </w:p>
        </w:tc>
        <w:tc>
          <w:tcPr>
            <w:tcW w:w="3169" w:type="dxa"/>
            <w:gridSpan w:val="4"/>
            <w:tcBorders>
              <w:top w:val="nil"/>
              <w:left w:val="nil"/>
              <w:bottom w:val="single" w:color="000000" w:sz="4" w:space="0"/>
              <w:right w:val="single" w:color="000000" w:sz="4" w:space="0"/>
            </w:tcBorders>
            <w:shd w:val="clear" w:color="000000" w:fill="FFFFFF"/>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科室签章：                                     2020  年   4月   1日</w:t>
            </w:r>
          </w:p>
        </w:tc>
      </w:tr>
    </w:tbl>
    <w:p>
      <w:pPr>
        <w:keepNext w:val="0"/>
        <w:keepLines w:val="0"/>
        <w:widowControl/>
        <w:suppressLineNumbers w:val="0"/>
        <w:adjustRightInd w:val="0"/>
        <w:snapToGrid w:val="0"/>
        <w:spacing w:before="0" w:beforeAutospacing="1" w:after="0" w:afterAutospacing="1" w:line="580" w:lineRule="exact"/>
        <w:ind w:right="0"/>
        <w:jc w:val="left"/>
        <w:rPr>
          <w:rFonts w:hint="eastAsia" w:ascii="仿宋_GB2312" w:hAnsi="Times New Roman" w:eastAsia="仿宋_GB2312" w:cs="仿宋_GB2312"/>
          <w:color w:val="auto"/>
          <w:kern w:val="0"/>
          <w:sz w:val="32"/>
          <w:szCs w:val="32"/>
          <w:lang w:val="en-US" w:eastAsia="zh-CN" w:bidi="ar"/>
        </w:rPr>
      </w:pPr>
      <w:r>
        <w:rPr>
          <w:rFonts w:hint="eastAsia" w:ascii="仿宋_GB2312" w:hAnsi="Times New Roman" w:eastAsia="仿宋_GB2312" w:cs="仿宋_GB2312"/>
          <w:color w:val="auto"/>
          <w:kern w:val="0"/>
          <w:sz w:val="32"/>
          <w:szCs w:val="32"/>
          <w:lang w:val="en-US" w:eastAsia="zh-CN" w:bidi="ar"/>
        </w:rPr>
        <w:t>2017年我市启动《呼伦贝尔市中心城区“城市双修”总体统筹与行动规划》及相关专项规划编制工作，此项目时限为2018-2020年，2019年底前完成，《呼伦贝尔市中心城区“城市双修”总体统筹与行动规划》的最终成果；</w:t>
      </w:r>
    </w:p>
    <w:p>
      <w:pPr>
        <w:keepNext w:val="0"/>
        <w:keepLines w:val="0"/>
        <w:widowControl/>
        <w:suppressLineNumbers w:val="0"/>
        <w:adjustRightInd w:val="0"/>
        <w:snapToGrid w:val="0"/>
        <w:spacing w:before="0" w:beforeAutospacing="1" w:after="0" w:afterAutospacing="1" w:line="580" w:lineRule="exact"/>
        <w:ind w:right="0"/>
        <w:jc w:val="left"/>
        <w:rPr>
          <w:rFonts w:hint="eastAsia" w:ascii="仿宋_GB2312" w:hAnsi="Times New Roman" w:eastAsia="仿宋_GB2312" w:cs="仿宋_GB2312"/>
          <w:color w:val="auto"/>
          <w:kern w:val="0"/>
          <w:sz w:val="32"/>
          <w:szCs w:val="32"/>
          <w:lang w:val="en-US" w:eastAsia="zh-CN" w:bidi="ar"/>
        </w:rPr>
      </w:pPr>
    </w:p>
    <w:p>
      <w:pPr>
        <w:keepNext w:val="0"/>
        <w:keepLines w:val="0"/>
        <w:widowControl/>
        <w:suppressLineNumbers w:val="0"/>
        <w:adjustRightInd w:val="0"/>
        <w:snapToGrid w:val="0"/>
        <w:spacing w:before="0" w:beforeAutospacing="1" w:after="0" w:afterAutospacing="1" w:line="580" w:lineRule="exact"/>
        <w:ind w:right="0"/>
        <w:jc w:val="left"/>
        <w:rPr>
          <w:rFonts w:hint="eastAsia" w:ascii="仿宋_GB2312" w:hAnsi="Times New Roman" w:eastAsia="仿宋_GB2312" w:cs="仿宋_GB2312"/>
          <w:color w:val="auto"/>
          <w:kern w:val="0"/>
          <w:sz w:val="32"/>
          <w:szCs w:val="32"/>
          <w:lang w:val="en-US" w:eastAsia="zh-CN" w:bidi="ar"/>
        </w:rPr>
      </w:pPr>
    </w:p>
    <w:tbl>
      <w:tblPr>
        <w:tblStyle w:val="4"/>
        <w:tblW w:w="8834" w:type="dxa"/>
        <w:tblInd w:w="-204" w:type="dxa"/>
        <w:shd w:val="clear" w:color="auto" w:fill="auto"/>
        <w:tblLayout w:type="fixed"/>
        <w:tblCellMar>
          <w:top w:w="0" w:type="dxa"/>
          <w:left w:w="0" w:type="dxa"/>
          <w:bottom w:w="0" w:type="dxa"/>
          <w:right w:w="0" w:type="dxa"/>
        </w:tblCellMar>
      </w:tblPr>
      <w:tblGrid>
        <w:gridCol w:w="240"/>
        <w:gridCol w:w="205"/>
        <w:gridCol w:w="206"/>
        <w:gridCol w:w="206"/>
        <w:gridCol w:w="1004"/>
        <w:gridCol w:w="1226"/>
        <w:gridCol w:w="383"/>
        <w:gridCol w:w="383"/>
        <w:gridCol w:w="647"/>
        <w:gridCol w:w="415"/>
        <w:gridCol w:w="233"/>
        <w:gridCol w:w="415"/>
        <w:gridCol w:w="353"/>
        <w:gridCol w:w="647"/>
        <w:gridCol w:w="647"/>
        <w:gridCol w:w="647"/>
        <w:gridCol w:w="737"/>
        <w:gridCol w:w="240"/>
      </w:tblGrid>
      <w:tr>
        <w:tblPrEx>
          <w:shd w:val="clear" w:color="auto" w:fill="auto"/>
          <w:tblCellMar>
            <w:top w:w="0" w:type="dxa"/>
            <w:left w:w="0" w:type="dxa"/>
            <w:bottom w:w="0" w:type="dxa"/>
            <w:right w:w="0" w:type="dxa"/>
          </w:tblCellMar>
        </w:tblPrEx>
        <w:trPr>
          <w:trHeight w:val="405" w:hRule="atLeast"/>
        </w:trPr>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8354" w:type="dxa"/>
            <w:gridSpan w:val="16"/>
            <w:tcBorders>
              <w:top w:val="nil"/>
              <w:left w:val="nil"/>
              <w:bottom w:val="nil"/>
              <w:right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monospace" w:hAnsi="monospace" w:eastAsia="monospace" w:cs="monospace"/>
                <w:b/>
                <w:i w:val="0"/>
                <w:color w:val="auto"/>
                <w:sz w:val="32"/>
                <w:szCs w:val="32"/>
                <w:u w:val="none"/>
              </w:rPr>
            </w:pPr>
            <w:r>
              <w:rPr>
                <w:rFonts w:hint="default" w:ascii="monospace" w:hAnsi="monospace" w:eastAsia="monospace" w:cs="monospace"/>
                <w:b/>
                <w:i w:val="0"/>
                <w:color w:val="auto"/>
                <w:kern w:val="0"/>
                <w:sz w:val="32"/>
                <w:szCs w:val="32"/>
                <w:u w:val="none"/>
                <w:lang w:val="en-US" w:eastAsia="zh-CN" w:bidi="ar"/>
              </w:rPr>
              <w:t>2019年财政资金绩效评价自评信息表</w:t>
            </w:r>
          </w:p>
        </w:tc>
        <w:tc>
          <w:tcPr>
            <w:tcW w:w="240" w:type="dxa"/>
            <w:tcBorders>
              <w:top w:val="nil"/>
              <w:left w:val="nil"/>
              <w:bottom w:val="nil"/>
              <w:right w:val="nil"/>
            </w:tcBorders>
            <w:shd w:val="clear" w:color="auto" w:fill="auto"/>
            <w:tcMar>
              <w:top w:w="15" w:type="dxa"/>
              <w:left w:w="15" w:type="dxa"/>
              <w:right w:w="15" w:type="dxa"/>
            </w:tcMar>
            <w:vAlign w:val="center"/>
          </w:tcPr>
          <w:p>
            <w:pPr>
              <w:rPr>
                <w:rFonts w:hint="default" w:ascii="monospace" w:hAnsi="monospace" w:eastAsia="monospace" w:cs="monospace"/>
                <w:b/>
                <w:i w:val="0"/>
                <w:color w:val="auto"/>
                <w:sz w:val="32"/>
                <w:szCs w:val="32"/>
                <w:u w:val="none"/>
              </w:rPr>
            </w:pPr>
          </w:p>
        </w:tc>
      </w:tr>
      <w:tr>
        <w:tblPrEx>
          <w:shd w:val="clear" w:color="auto" w:fill="auto"/>
          <w:tblCellMar>
            <w:top w:w="0" w:type="dxa"/>
            <w:left w:w="0" w:type="dxa"/>
            <w:bottom w:w="0" w:type="dxa"/>
            <w:right w:w="0" w:type="dxa"/>
          </w:tblCellMar>
        </w:tblPrEx>
        <w:trPr>
          <w:trHeight w:val="207" w:hRule="atLeast"/>
        </w:trPr>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8594" w:type="dxa"/>
            <w:gridSpan w:val="17"/>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285" w:hRule="atLeast"/>
        </w:trPr>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8354" w:type="dxa"/>
            <w:gridSpan w:val="16"/>
            <w:tcBorders>
              <w:top w:val="nil"/>
              <w:left w:val="nil"/>
              <w:bottom w:val="nil"/>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编制单位：呼伦贝尔市自然资源局</w:t>
            </w:r>
          </w:p>
        </w:tc>
        <w:tc>
          <w:tcPr>
            <w:tcW w:w="240" w:type="dxa"/>
            <w:tcBorders>
              <w:top w:val="nil"/>
              <w:left w:val="nil"/>
              <w:bottom w:val="nil"/>
              <w:right w:val="nil"/>
            </w:tcBorders>
            <w:shd w:val="clear" w:color="auto" w:fill="auto"/>
            <w:tcMar>
              <w:top w:w="15" w:type="dxa"/>
              <w:left w:w="15" w:type="dxa"/>
              <w:right w:w="15" w:type="dxa"/>
            </w:tcMar>
            <w:vAlign w:val="center"/>
          </w:tcPr>
          <w:p>
            <w:pPr>
              <w:rPr>
                <w:rFonts w:hint="eastAsia" w:ascii="宋体" w:hAnsi="宋体" w:eastAsia="宋体" w:cs="宋体"/>
                <w:i w:val="0"/>
                <w:color w:val="auto"/>
                <w:sz w:val="18"/>
                <w:szCs w:val="18"/>
                <w:u w:val="none"/>
              </w:rPr>
            </w:pPr>
          </w:p>
        </w:tc>
      </w:tr>
      <w:tr>
        <w:tblPrEx>
          <w:shd w:val="clear" w:color="auto" w:fill="auto"/>
          <w:tblCellMar>
            <w:top w:w="0" w:type="dxa"/>
            <w:left w:w="0" w:type="dxa"/>
            <w:bottom w:w="0" w:type="dxa"/>
            <w:right w:w="0" w:type="dxa"/>
          </w:tblCellMar>
        </w:tblPrEx>
        <w:trPr>
          <w:trHeight w:val="409" w:hRule="atLeast"/>
        </w:trPr>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8354" w:type="dxa"/>
            <w:gridSpan w:val="16"/>
            <w:tcBorders>
              <w:top w:val="nil"/>
              <w:left w:val="nil"/>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18"/>
                <w:szCs w:val="18"/>
                <w:u w:val="none"/>
              </w:rPr>
            </w:pPr>
            <w:r>
              <w:rPr>
                <w:rFonts w:hint="eastAsia" w:ascii="宋体" w:hAnsi="宋体" w:eastAsia="宋体" w:cs="宋体"/>
                <w:b/>
                <w:i w:val="0"/>
                <w:color w:val="auto"/>
                <w:kern w:val="0"/>
                <w:sz w:val="18"/>
                <w:szCs w:val="18"/>
                <w:u w:val="none"/>
                <w:lang w:val="en-US" w:eastAsia="zh-CN" w:bidi="ar"/>
              </w:rPr>
              <w:t>一、项目基本情况</w:t>
            </w:r>
          </w:p>
        </w:tc>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285" w:hRule="atLeast"/>
        </w:trPr>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617"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项目名称</w:t>
            </w:r>
          </w:p>
        </w:tc>
        <w:tc>
          <w:tcPr>
            <w:tcW w:w="7737" w:type="dxa"/>
            <w:gridSpan w:val="1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呼伦贝尔市中心城区“城市双修”总体统筹与行动规划</w:t>
            </w:r>
          </w:p>
        </w:tc>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285" w:hRule="atLeast"/>
        </w:trPr>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617"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项目负责人</w:t>
            </w:r>
          </w:p>
        </w:tc>
        <w:tc>
          <w:tcPr>
            <w:tcW w:w="4291" w:type="dxa"/>
            <w:gridSpan w:val="7"/>
            <w:tcBorders>
              <w:top w:val="single" w:color="000000" w:sz="4" w:space="0"/>
              <w:left w:val="nil"/>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张文春</w:t>
            </w:r>
          </w:p>
        </w:tc>
        <w:tc>
          <w:tcPr>
            <w:tcW w:w="1415"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联系电话</w:t>
            </w:r>
          </w:p>
        </w:tc>
        <w:tc>
          <w:tcPr>
            <w:tcW w:w="2031"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8296060</w:t>
            </w:r>
          </w:p>
        </w:tc>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285" w:hRule="atLeast"/>
        </w:trPr>
        <w:tc>
          <w:tcPr>
            <w:tcW w:w="240" w:type="dxa"/>
            <w:tcBorders>
              <w:top w:val="nil"/>
              <w:left w:val="nil"/>
              <w:bottom w:val="nil"/>
              <w:right w:val="nil"/>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　</w:t>
            </w:r>
          </w:p>
        </w:tc>
        <w:tc>
          <w:tcPr>
            <w:tcW w:w="617" w:type="dxa"/>
            <w:gridSpan w:val="3"/>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单位财务</w:t>
            </w:r>
          </w:p>
        </w:tc>
        <w:tc>
          <w:tcPr>
            <w:tcW w:w="4291" w:type="dxa"/>
            <w:gridSpan w:val="7"/>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柴桂君</w:t>
            </w:r>
          </w:p>
        </w:tc>
        <w:tc>
          <w:tcPr>
            <w:tcW w:w="1415" w:type="dxa"/>
            <w:gridSpan w:val="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财务联系电话</w:t>
            </w:r>
          </w:p>
        </w:tc>
        <w:tc>
          <w:tcPr>
            <w:tcW w:w="2031" w:type="dxa"/>
            <w:gridSpan w:val="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8296060</w:t>
            </w:r>
          </w:p>
        </w:tc>
        <w:tc>
          <w:tcPr>
            <w:tcW w:w="240" w:type="dxa"/>
            <w:tcBorders>
              <w:top w:val="nil"/>
              <w:left w:val="nil"/>
              <w:bottom w:val="nil"/>
              <w:right w:val="nil"/>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　</w:t>
            </w:r>
          </w:p>
        </w:tc>
      </w:tr>
      <w:tr>
        <w:tblPrEx>
          <w:shd w:val="clear" w:color="auto" w:fill="auto"/>
          <w:tblCellMar>
            <w:top w:w="0" w:type="dxa"/>
            <w:left w:w="0" w:type="dxa"/>
            <w:bottom w:w="0" w:type="dxa"/>
            <w:right w:w="0" w:type="dxa"/>
          </w:tblCellMar>
        </w:tblPrEx>
        <w:trPr>
          <w:trHeight w:val="735" w:hRule="atLeast"/>
        </w:trPr>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617"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项目类别</w:t>
            </w:r>
          </w:p>
        </w:tc>
        <w:tc>
          <w:tcPr>
            <w:tcW w:w="7737" w:type="dxa"/>
            <w:gridSpan w:val="1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商品和服务支出</w:t>
            </w:r>
          </w:p>
        </w:tc>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285" w:hRule="atLeast"/>
        </w:trPr>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617"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项目类型</w:t>
            </w:r>
          </w:p>
        </w:tc>
        <w:tc>
          <w:tcPr>
            <w:tcW w:w="4291" w:type="dxa"/>
            <w:gridSpan w:val="7"/>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延续项目</w:t>
            </w:r>
          </w:p>
        </w:tc>
        <w:tc>
          <w:tcPr>
            <w:tcW w:w="1415"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项目口径</w:t>
            </w:r>
          </w:p>
        </w:tc>
        <w:tc>
          <w:tcPr>
            <w:tcW w:w="2031" w:type="dxa"/>
            <w:gridSpan w:val="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阶段性</w:t>
            </w:r>
          </w:p>
        </w:tc>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285" w:hRule="atLeast"/>
        </w:trPr>
        <w:tc>
          <w:tcPr>
            <w:tcW w:w="240" w:type="dxa"/>
            <w:tcBorders>
              <w:top w:val="nil"/>
              <w:left w:val="nil"/>
              <w:bottom w:val="nil"/>
              <w:right w:val="nil"/>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　</w:t>
            </w:r>
          </w:p>
        </w:tc>
        <w:tc>
          <w:tcPr>
            <w:tcW w:w="617" w:type="dxa"/>
            <w:gridSpan w:val="3"/>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项目依据</w:t>
            </w:r>
          </w:p>
        </w:tc>
        <w:tc>
          <w:tcPr>
            <w:tcW w:w="7737" w:type="dxa"/>
            <w:gridSpan w:val="1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中央和自治区党委政府确定的项目</w:t>
            </w:r>
          </w:p>
        </w:tc>
        <w:tc>
          <w:tcPr>
            <w:tcW w:w="240" w:type="dxa"/>
            <w:tcBorders>
              <w:top w:val="nil"/>
              <w:left w:val="nil"/>
              <w:bottom w:val="nil"/>
              <w:right w:val="nil"/>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　</w:t>
            </w:r>
          </w:p>
        </w:tc>
      </w:tr>
      <w:tr>
        <w:tblPrEx>
          <w:shd w:val="clear" w:color="auto" w:fill="auto"/>
          <w:tblCellMar>
            <w:top w:w="0" w:type="dxa"/>
            <w:left w:w="0" w:type="dxa"/>
            <w:bottom w:w="0" w:type="dxa"/>
            <w:right w:w="0" w:type="dxa"/>
          </w:tblCellMar>
        </w:tblPrEx>
        <w:trPr>
          <w:trHeight w:val="285" w:hRule="atLeast"/>
        </w:trPr>
        <w:tc>
          <w:tcPr>
            <w:tcW w:w="240" w:type="dxa"/>
            <w:tcBorders>
              <w:top w:val="nil"/>
              <w:left w:val="nil"/>
              <w:bottom w:val="nil"/>
              <w:right w:val="nil"/>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　</w:t>
            </w:r>
          </w:p>
        </w:tc>
        <w:tc>
          <w:tcPr>
            <w:tcW w:w="617" w:type="dxa"/>
            <w:gridSpan w:val="3"/>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项目属性</w:t>
            </w:r>
          </w:p>
        </w:tc>
        <w:tc>
          <w:tcPr>
            <w:tcW w:w="7737" w:type="dxa"/>
            <w:gridSpan w:val="1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专项资金</w:t>
            </w:r>
          </w:p>
        </w:tc>
        <w:tc>
          <w:tcPr>
            <w:tcW w:w="240" w:type="dxa"/>
            <w:tcBorders>
              <w:top w:val="nil"/>
              <w:left w:val="nil"/>
              <w:bottom w:val="nil"/>
              <w:right w:val="nil"/>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　</w:t>
            </w:r>
          </w:p>
        </w:tc>
      </w:tr>
      <w:tr>
        <w:tblPrEx>
          <w:shd w:val="clear" w:color="auto" w:fill="auto"/>
          <w:tblCellMar>
            <w:top w:w="0" w:type="dxa"/>
            <w:left w:w="0" w:type="dxa"/>
            <w:bottom w:w="0" w:type="dxa"/>
            <w:right w:w="0" w:type="dxa"/>
          </w:tblCellMar>
        </w:tblPrEx>
        <w:trPr>
          <w:trHeight w:val="630" w:hRule="atLeast"/>
        </w:trPr>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617"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项目计划实施时间</w:t>
            </w:r>
          </w:p>
        </w:tc>
        <w:tc>
          <w:tcPr>
            <w:tcW w:w="7737" w:type="dxa"/>
            <w:gridSpan w:val="13"/>
            <w:tcBorders>
              <w:top w:val="single" w:color="000000" w:sz="4" w:space="0"/>
              <w:left w:val="nil"/>
              <w:bottom w:val="nil"/>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xml:space="preserve"> 至 </w:t>
            </w:r>
          </w:p>
        </w:tc>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555" w:hRule="atLeast"/>
        </w:trPr>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617"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项目实际实施时间</w:t>
            </w:r>
          </w:p>
        </w:tc>
        <w:tc>
          <w:tcPr>
            <w:tcW w:w="7737" w:type="dxa"/>
            <w:gridSpan w:val="13"/>
            <w:tcBorders>
              <w:top w:val="single" w:color="000000" w:sz="4" w:space="0"/>
              <w:left w:val="nil"/>
              <w:bottom w:val="nil"/>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xml:space="preserve"> 2019-01-01至 2020-12-31</w:t>
            </w:r>
          </w:p>
        </w:tc>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525" w:hRule="atLeast"/>
        </w:trPr>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617"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项目自评价时间</w:t>
            </w:r>
          </w:p>
        </w:tc>
        <w:tc>
          <w:tcPr>
            <w:tcW w:w="7737" w:type="dxa"/>
            <w:gridSpan w:val="13"/>
            <w:tcBorders>
              <w:top w:val="single" w:color="000000" w:sz="4" w:space="0"/>
              <w:left w:val="nil"/>
              <w:bottom w:val="nil"/>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xml:space="preserve"> 2020-03-17至 2020-03-23</w:t>
            </w:r>
          </w:p>
        </w:tc>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1440" w:hRule="atLeast"/>
        </w:trPr>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617"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项目申请原因（包括设立依据、可行性及必要性）</w:t>
            </w:r>
          </w:p>
        </w:tc>
        <w:tc>
          <w:tcPr>
            <w:tcW w:w="7737" w:type="dxa"/>
            <w:gridSpan w:val="1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1、《住房城乡建设部关于将福州等19个城市列为生态修复城市修补试点城市的通知》（建规[2017]76号） 2、《关于报送生态修复城市补修实施计划的通知》（内建规函[2017]239号） 3、呼伦贝尔市财政投资评审中心《关于市规划局申请&lt;呼伦贝尔市中心城区“城市双修”总体统筹与行动规划&gt;编制经费审核报告》 4、呼伦贝尔市财政局《关于市规划局申请急需落实2018年规划编制经费的意见》</w:t>
            </w:r>
          </w:p>
        </w:tc>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1440" w:hRule="atLeast"/>
        </w:trPr>
        <w:tc>
          <w:tcPr>
            <w:tcW w:w="240" w:type="dxa"/>
            <w:tcBorders>
              <w:top w:val="nil"/>
              <w:left w:val="nil"/>
              <w:bottom w:val="nil"/>
              <w:right w:val="nil"/>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　</w:t>
            </w:r>
          </w:p>
        </w:tc>
        <w:tc>
          <w:tcPr>
            <w:tcW w:w="617" w:type="dxa"/>
            <w:gridSpan w:val="3"/>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项目内容</w:t>
            </w:r>
          </w:p>
        </w:tc>
        <w:tc>
          <w:tcPr>
            <w:tcW w:w="7737" w:type="dxa"/>
            <w:gridSpan w:val="1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中标价格1550万元，2018年已安排200万元，按照5:3:2比例，2019年应安排1040万元。</w:t>
            </w:r>
          </w:p>
        </w:tc>
        <w:tc>
          <w:tcPr>
            <w:tcW w:w="240" w:type="dxa"/>
            <w:tcBorders>
              <w:top w:val="nil"/>
              <w:left w:val="nil"/>
              <w:bottom w:val="nil"/>
              <w:right w:val="nil"/>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　</w:t>
            </w:r>
          </w:p>
        </w:tc>
      </w:tr>
      <w:tr>
        <w:tblPrEx>
          <w:shd w:val="clear" w:color="auto" w:fill="auto"/>
          <w:tblCellMar>
            <w:top w:w="0" w:type="dxa"/>
            <w:left w:w="0" w:type="dxa"/>
            <w:bottom w:w="0" w:type="dxa"/>
            <w:right w:w="0" w:type="dxa"/>
          </w:tblCellMar>
        </w:tblPrEx>
        <w:trPr>
          <w:trHeight w:val="1440" w:hRule="atLeast"/>
        </w:trPr>
        <w:tc>
          <w:tcPr>
            <w:tcW w:w="240" w:type="dxa"/>
            <w:tcBorders>
              <w:top w:val="nil"/>
              <w:left w:val="nil"/>
              <w:bottom w:val="nil"/>
              <w:right w:val="nil"/>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　</w:t>
            </w:r>
          </w:p>
        </w:tc>
        <w:tc>
          <w:tcPr>
            <w:tcW w:w="617" w:type="dxa"/>
            <w:gridSpan w:val="3"/>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项目概况</w:t>
            </w:r>
          </w:p>
        </w:tc>
        <w:tc>
          <w:tcPr>
            <w:tcW w:w="7737" w:type="dxa"/>
            <w:gridSpan w:val="1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中标价格1550万元，2018年已安排200万元，按照5:3:2比例，2019年应安排1040万元。</w:t>
            </w:r>
          </w:p>
        </w:tc>
        <w:tc>
          <w:tcPr>
            <w:tcW w:w="240" w:type="dxa"/>
            <w:tcBorders>
              <w:top w:val="nil"/>
              <w:left w:val="nil"/>
              <w:bottom w:val="nil"/>
              <w:right w:val="nil"/>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　</w:t>
            </w:r>
          </w:p>
        </w:tc>
      </w:tr>
      <w:tr>
        <w:tblPrEx>
          <w:shd w:val="clear" w:color="auto" w:fill="auto"/>
          <w:tblCellMar>
            <w:top w:w="0" w:type="dxa"/>
            <w:left w:w="0" w:type="dxa"/>
            <w:bottom w:w="0" w:type="dxa"/>
            <w:right w:w="0" w:type="dxa"/>
          </w:tblCellMar>
        </w:tblPrEx>
        <w:trPr>
          <w:trHeight w:val="1440" w:hRule="atLeast"/>
        </w:trPr>
        <w:tc>
          <w:tcPr>
            <w:tcW w:w="240" w:type="dxa"/>
            <w:tcBorders>
              <w:top w:val="nil"/>
              <w:left w:val="nil"/>
              <w:bottom w:val="nil"/>
              <w:right w:val="nil"/>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　</w:t>
            </w:r>
          </w:p>
        </w:tc>
        <w:tc>
          <w:tcPr>
            <w:tcW w:w="205" w:type="dxa"/>
            <w:vMerge w:val="restart"/>
            <w:tcBorders>
              <w:top w:val="nil"/>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项目绩效目标</w:t>
            </w:r>
          </w:p>
        </w:tc>
        <w:tc>
          <w:tcPr>
            <w:tcW w:w="412"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总目标完成情况</w:t>
            </w:r>
          </w:p>
        </w:tc>
        <w:tc>
          <w:tcPr>
            <w:tcW w:w="7737" w:type="dxa"/>
            <w:gridSpan w:val="1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完成《呼伦贝尔市中心城区“城市双修”总体统筹与行动规划》</w:t>
            </w:r>
          </w:p>
        </w:tc>
        <w:tc>
          <w:tcPr>
            <w:tcW w:w="240" w:type="dxa"/>
            <w:tcBorders>
              <w:top w:val="nil"/>
              <w:left w:val="nil"/>
              <w:bottom w:val="nil"/>
              <w:right w:val="nil"/>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　</w:t>
            </w:r>
          </w:p>
        </w:tc>
      </w:tr>
      <w:tr>
        <w:tblPrEx>
          <w:shd w:val="clear" w:color="auto" w:fill="auto"/>
          <w:tblCellMar>
            <w:top w:w="0" w:type="dxa"/>
            <w:left w:w="0" w:type="dxa"/>
            <w:bottom w:w="0" w:type="dxa"/>
            <w:right w:w="0" w:type="dxa"/>
          </w:tblCellMar>
        </w:tblPrEx>
        <w:trPr>
          <w:trHeight w:val="1440" w:hRule="atLeast"/>
        </w:trPr>
        <w:tc>
          <w:tcPr>
            <w:tcW w:w="240" w:type="dxa"/>
            <w:tcBorders>
              <w:top w:val="nil"/>
              <w:left w:val="nil"/>
              <w:bottom w:val="nil"/>
              <w:right w:val="nil"/>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　</w:t>
            </w:r>
          </w:p>
        </w:tc>
        <w:tc>
          <w:tcPr>
            <w:tcW w:w="205" w:type="dxa"/>
            <w:vMerge w:val="continue"/>
            <w:tcBorders>
              <w:top w:val="nil"/>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412"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阶段性目标完成情况</w:t>
            </w:r>
          </w:p>
        </w:tc>
        <w:tc>
          <w:tcPr>
            <w:tcW w:w="7737" w:type="dxa"/>
            <w:gridSpan w:val="1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完成《呼伦贝尔市中心城区“城市双修”总体统筹与行动规划》</w:t>
            </w:r>
          </w:p>
        </w:tc>
        <w:tc>
          <w:tcPr>
            <w:tcW w:w="240" w:type="dxa"/>
            <w:tcBorders>
              <w:top w:val="nil"/>
              <w:left w:val="nil"/>
              <w:bottom w:val="nil"/>
              <w:right w:val="nil"/>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　</w:t>
            </w:r>
          </w:p>
        </w:tc>
      </w:tr>
      <w:tr>
        <w:tblPrEx>
          <w:shd w:val="clear" w:color="auto" w:fill="auto"/>
          <w:tblCellMar>
            <w:top w:w="0" w:type="dxa"/>
            <w:left w:w="0" w:type="dxa"/>
            <w:bottom w:w="0" w:type="dxa"/>
            <w:right w:w="0" w:type="dxa"/>
          </w:tblCellMar>
        </w:tblPrEx>
        <w:trPr>
          <w:trHeight w:val="1440" w:hRule="atLeast"/>
        </w:trPr>
        <w:tc>
          <w:tcPr>
            <w:tcW w:w="240" w:type="dxa"/>
            <w:tcBorders>
              <w:top w:val="nil"/>
              <w:left w:val="nil"/>
              <w:bottom w:val="nil"/>
              <w:right w:val="nil"/>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　</w:t>
            </w:r>
          </w:p>
        </w:tc>
        <w:tc>
          <w:tcPr>
            <w:tcW w:w="205" w:type="dxa"/>
            <w:vMerge w:val="restart"/>
            <w:tcBorders>
              <w:top w:val="nil"/>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阶段性目标完成情况</w:t>
            </w:r>
          </w:p>
        </w:tc>
        <w:tc>
          <w:tcPr>
            <w:tcW w:w="412"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前期准备</w:t>
            </w:r>
          </w:p>
        </w:tc>
        <w:tc>
          <w:tcPr>
            <w:tcW w:w="7737" w:type="dxa"/>
            <w:gridSpan w:val="1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1、《住房城乡建设部关于将福州等19个城市列为生态修复城市修补试点城市的通知》（建规[2017]76号） 2、《关于报送生态修复城市补修实施计划的通知》（内建规函[2017]239号） 3、呼伦贝尔市财政投资评审中心《关于市规划局申请&lt;呼伦贝尔市中心城区“城市双修”总体统筹与行动规划&gt;编制经费审核报告》 4、呼伦贝尔市财政局《关于市规划局申请急需落实2018年规划编制经费的意见》</w:t>
            </w:r>
          </w:p>
        </w:tc>
        <w:tc>
          <w:tcPr>
            <w:tcW w:w="240" w:type="dxa"/>
            <w:tcBorders>
              <w:top w:val="nil"/>
              <w:left w:val="nil"/>
              <w:bottom w:val="nil"/>
              <w:right w:val="nil"/>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　</w:t>
            </w:r>
          </w:p>
        </w:tc>
      </w:tr>
      <w:tr>
        <w:tblPrEx>
          <w:shd w:val="clear" w:color="auto" w:fill="auto"/>
          <w:tblCellMar>
            <w:top w:w="0" w:type="dxa"/>
            <w:left w:w="0" w:type="dxa"/>
            <w:bottom w:w="0" w:type="dxa"/>
            <w:right w:w="0" w:type="dxa"/>
          </w:tblCellMar>
        </w:tblPrEx>
        <w:trPr>
          <w:trHeight w:val="1440" w:hRule="atLeast"/>
        </w:trPr>
        <w:tc>
          <w:tcPr>
            <w:tcW w:w="240" w:type="dxa"/>
            <w:tcBorders>
              <w:top w:val="nil"/>
              <w:left w:val="nil"/>
              <w:bottom w:val="nil"/>
              <w:right w:val="nil"/>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　</w:t>
            </w:r>
          </w:p>
        </w:tc>
        <w:tc>
          <w:tcPr>
            <w:tcW w:w="205" w:type="dxa"/>
            <w:vMerge w:val="continue"/>
            <w:tcBorders>
              <w:top w:val="nil"/>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412"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组织实施</w:t>
            </w:r>
          </w:p>
        </w:tc>
        <w:tc>
          <w:tcPr>
            <w:tcW w:w="7737" w:type="dxa"/>
            <w:gridSpan w:val="1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请示政府批准项目实施，组织公开招投标，组织专家评审。</w:t>
            </w:r>
          </w:p>
        </w:tc>
        <w:tc>
          <w:tcPr>
            <w:tcW w:w="240" w:type="dxa"/>
            <w:tcBorders>
              <w:top w:val="nil"/>
              <w:left w:val="nil"/>
              <w:bottom w:val="nil"/>
              <w:right w:val="nil"/>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　</w:t>
            </w:r>
          </w:p>
        </w:tc>
      </w:tr>
      <w:tr>
        <w:tblPrEx>
          <w:shd w:val="clear" w:color="auto" w:fill="auto"/>
          <w:tblCellMar>
            <w:top w:w="0" w:type="dxa"/>
            <w:left w:w="0" w:type="dxa"/>
            <w:bottom w:w="0" w:type="dxa"/>
            <w:right w:w="0" w:type="dxa"/>
          </w:tblCellMar>
        </w:tblPrEx>
        <w:trPr>
          <w:trHeight w:val="1440" w:hRule="atLeast"/>
        </w:trPr>
        <w:tc>
          <w:tcPr>
            <w:tcW w:w="240" w:type="dxa"/>
            <w:tcBorders>
              <w:top w:val="nil"/>
              <w:left w:val="nil"/>
              <w:bottom w:val="nil"/>
              <w:right w:val="nil"/>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　</w:t>
            </w:r>
          </w:p>
        </w:tc>
        <w:tc>
          <w:tcPr>
            <w:tcW w:w="205" w:type="dxa"/>
            <w:vMerge w:val="continue"/>
            <w:tcBorders>
              <w:top w:val="nil"/>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412"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分析评价</w:t>
            </w:r>
          </w:p>
        </w:tc>
        <w:tc>
          <w:tcPr>
            <w:tcW w:w="7737" w:type="dxa"/>
            <w:gridSpan w:val="1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完成《呼伦贝尔市中心城区“城市双修”总体统筹与行动规划》</w:t>
            </w:r>
          </w:p>
        </w:tc>
        <w:tc>
          <w:tcPr>
            <w:tcW w:w="240" w:type="dxa"/>
            <w:tcBorders>
              <w:top w:val="nil"/>
              <w:left w:val="nil"/>
              <w:bottom w:val="nil"/>
              <w:right w:val="nil"/>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　</w:t>
            </w:r>
          </w:p>
        </w:tc>
      </w:tr>
      <w:tr>
        <w:tblPrEx>
          <w:shd w:val="clear" w:color="auto" w:fill="auto"/>
          <w:tblCellMar>
            <w:top w:w="0" w:type="dxa"/>
            <w:left w:w="0" w:type="dxa"/>
            <w:bottom w:w="0" w:type="dxa"/>
            <w:right w:w="0" w:type="dxa"/>
          </w:tblCellMar>
        </w:tblPrEx>
        <w:trPr>
          <w:trHeight w:val="600" w:hRule="atLeast"/>
        </w:trPr>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8354" w:type="dxa"/>
            <w:gridSpan w:val="1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18"/>
                <w:szCs w:val="18"/>
                <w:u w:val="none"/>
              </w:rPr>
            </w:pPr>
            <w:r>
              <w:rPr>
                <w:rFonts w:hint="eastAsia" w:ascii="宋体" w:hAnsi="宋体" w:eastAsia="宋体" w:cs="宋体"/>
                <w:b/>
                <w:i w:val="0"/>
                <w:color w:val="auto"/>
                <w:kern w:val="0"/>
                <w:sz w:val="18"/>
                <w:szCs w:val="18"/>
                <w:u w:val="none"/>
                <w:lang w:val="en-US" w:eastAsia="zh-CN" w:bidi="ar"/>
              </w:rPr>
              <w:t>二、项目资金情况</w:t>
            </w:r>
          </w:p>
        </w:tc>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439" w:hRule="atLeast"/>
        </w:trPr>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617"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申请资金(万元)</w:t>
            </w:r>
          </w:p>
        </w:tc>
        <w:tc>
          <w:tcPr>
            <w:tcW w:w="7737" w:type="dxa"/>
            <w:gridSpan w:val="1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285" w:hRule="atLeast"/>
        </w:trPr>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617" w:type="dxa"/>
            <w:gridSpan w:val="3"/>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项目资金来源</w:t>
            </w:r>
          </w:p>
        </w:tc>
        <w:tc>
          <w:tcPr>
            <w:tcW w:w="223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资金来源</w:t>
            </w:r>
          </w:p>
        </w:tc>
        <w:tc>
          <w:tcPr>
            <w:tcW w:w="766"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上年结转(万元)</w:t>
            </w:r>
          </w:p>
        </w:tc>
        <w:tc>
          <w:tcPr>
            <w:tcW w:w="1295"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当年安排资金(万元)</w:t>
            </w:r>
          </w:p>
        </w:tc>
        <w:tc>
          <w:tcPr>
            <w:tcW w:w="1415"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实际到位</w:t>
            </w:r>
          </w:p>
        </w:tc>
        <w:tc>
          <w:tcPr>
            <w:tcW w:w="1294"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实际支出</w:t>
            </w:r>
          </w:p>
        </w:tc>
        <w:tc>
          <w:tcPr>
            <w:tcW w:w="737" w:type="dxa"/>
            <w:vMerge w:val="restart"/>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结转结余金额(万元)</w:t>
            </w:r>
          </w:p>
        </w:tc>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765" w:hRule="atLeast"/>
        </w:trPr>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617" w:type="dxa"/>
            <w:gridSpan w:val="3"/>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223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383"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批复金额(万元)</w:t>
            </w:r>
          </w:p>
        </w:tc>
        <w:tc>
          <w:tcPr>
            <w:tcW w:w="383"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实际金额(万元)</w:t>
            </w:r>
          </w:p>
        </w:tc>
        <w:tc>
          <w:tcPr>
            <w:tcW w:w="64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批复金额(万元)</w:t>
            </w:r>
          </w:p>
        </w:tc>
        <w:tc>
          <w:tcPr>
            <w:tcW w:w="648"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实际金额(万元)</w:t>
            </w:r>
          </w:p>
        </w:tc>
        <w:tc>
          <w:tcPr>
            <w:tcW w:w="768"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金额(万元)</w:t>
            </w:r>
          </w:p>
        </w:tc>
        <w:tc>
          <w:tcPr>
            <w:tcW w:w="64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到位率（%）</w:t>
            </w:r>
          </w:p>
        </w:tc>
        <w:tc>
          <w:tcPr>
            <w:tcW w:w="64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金额(万元)</w:t>
            </w:r>
          </w:p>
        </w:tc>
        <w:tc>
          <w:tcPr>
            <w:tcW w:w="647"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支出实现率（%）</w:t>
            </w:r>
          </w:p>
        </w:tc>
        <w:tc>
          <w:tcPr>
            <w:tcW w:w="737" w:type="dxa"/>
            <w:vMerge w:val="continue"/>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402" w:hRule="atLeast"/>
        </w:trPr>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617" w:type="dxa"/>
            <w:gridSpan w:val="3"/>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2230"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合计</w:t>
            </w:r>
          </w:p>
        </w:tc>
        <w:tc>
          <w:tcPr>
            <w:tcW w:w="383"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383"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4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1040.00</w:t>
            </w:r>
          </w:p>
        </w:tc>
        <w:tc>
          <w:tcPr>
            <w:tcW w:w="648"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1040.00</w:t>
            </w:r>
          </w:p>
        </w:tc>
        <w:tc>
          <w:tcPr>
            <w:tcW w:w="768"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1040.00</w:t>
            </w:r>
          </w:p>
        </w:tc>
        <w:tc>
          <w:tcPr>
            <w:tcW w:w="64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100.00%</w:t>
            </w:r>
          </w:p>
        </w:tc>
        <w:tc>
          <w:tcPr>
            <w:tcW w:w="64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1040.00</w:t>
            </w:r>
          </w:p>
        </w:tc>
        <w:tc>
          <w:tcPr>
            <w:tcW w:w="64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100.00%</w:t>
            </w:r>
          </w:p>
        </w:tc>
        <w:tc>
          <w:tcPr>
            <w:tcW w:w="73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402" w:hRule="atLeast"/>
        </w:trPr>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617" w:type="dxa"/>
            <w:gridSpan w:val="3"/>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2230" w:type="dxa"/>
            <w:gridSpan w:val="2"/>
            <w:tcBorders>
              <w:top w:val="single" w:color="000000" w:sz="4" w:space="0"/>
              <w:left w:val="nil"/>
              <w:bottom w:val="single" w:color="000000" w:sz="4" w:space="0"/>
              <w:right w:val="single" w:color="000000" w:sz="4" w:space="0"/>
            </w:tcBorders>
            <w:shd w:val="clear" w:color="000000" w:fill="FFFFFF"/>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公共财政预算管理资金</w:t>
            </w:r>
          </w:p>
        </w:tc>
        <w:tc>
          <w:tcPr>
            <w:tcW w:w="383"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383"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4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48"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768"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4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64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4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73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402" w:hRule="atLeast"/>
        </w:trPr>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617" w:type="dxa"/>
            <w:gridSpan w:val="3"/>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2230" w:type="dxa"/>
            <w:gridSpan w:val="2"/>
            <w:tcBorders>
              <w:top w:val="single" w:color="000000" w:sz="4" w:space="0"/>
              <w:left w:val="nil"/>
              <w:bottom w:val="single" w:color="000000" w:sz="4" w:space="0"/>
              <w:right w:val="single" w:color="000000" w:sz="4" w:space="0"/>
            </w:tcBorders>
            <w:shd w:val="clear" w:color="000000" w:fill="FFFFFF"/>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政府性资金预算资金</w:t>
            </w:r>
          </w:p>
        </w:tc>
        <w:tc>
          <w:tcPr>
            <w:tcW w:w="383"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383"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4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1040.00</w:t>
            </w:r>
          </w:p>
        </w:tc>
        <w:tc>
          <w:tcPr>
            <w:tcW w:w="648"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1040.00</w:t>
            </w:r>
          </w:p>
        </w:tc>
        <w:tc>
          <w:tcPr>
            <w:tcW w:w="768"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1040.00</w:t>
            </w:r>
          </w:p>
        </w:tc>
        <w:tc>
          <w:tcPr>
            <w:tcW w:w="64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100.00%</w:t>
            </w:r>
          </w:p>
        </w:tc>
        <w:tc>
          <w:tcPr>
            <w:tcW w:w="64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1040.00</w:t>
            </w:r>
          </w:p>
        </w:tc>
        <w:tc>
          <w:tcPr>
            <w:tcW w:w="64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100.00%</w:t>
            </w:r>
          </w:p>
        </w:tc>
        <w:tc>
          <w:tcPr>
            <w:tcW w:w="73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402" w:hRule="atLeast"/>
        </w:trPr>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617" w:type="dxa"/>
            <w:gridSpan w:val="3"/>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2230" w:type="dxa"/>
            <w:gridSpan w:val="2"/>
            <w:tcBorders>
              <w:top w:val="single" w:color="000000" w:sz="4" w:space="0"/>
              <w:left w:val="nil"/>
              <w:bottom w:val="single" w:color="000000" w:sz="4" w:space="0"/>
              <w:right w:val="single" w:color="000000" w:sz="4" w:space="0"/>
            </w:tcBorders>
            <w:shd w:val="clear" w:color="000000" w:fill="FFFFFF"/>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国有资本经营预算资金</w:t>
            </w:r>
          </w:p>
        </w:tc>
        <w:tc>
          <w:tcPr>
            <w:tcW w:w="383"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383"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4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48"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768"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4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64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4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73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402" w:hRule="atLeast"/>
        </w:trPr>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617" w:type="dxa"/>
            <w:gridSpan w:val="3"/>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2230" w:type="dxa"/>
            <w:gridSpan w:val="2"/>
            <w:tcBorders>
              <w:top w:val="single" w:color="000000" w:sz="4" w:space="0"/>
              <w:left w:val="nil"/>
              <w:bottom w:val="single" w:color="000000" w:sz="4" w:space="0"/>
              <w:right w:val="single" w:color="000000" w:sz="4" w:space="0"/>
            </w:tcBorders>
            <w:shd w:val="clear" w:color="000000" w:fill="FFFFFF"/>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社会保险基本预算资金</w:t>
            </w:r>
          </w:p>
        </w:tc>
        <w:tc>
          <w:tcPr>
            <w:tcW w:w="383"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383"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4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48"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768"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4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64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4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73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402" w:hRule="atLeast"/>
        </w:trPr>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617" w:type="dxa"/>
            <w:gridSpan w:val="3"/>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2230" w:type="dxa"/>
            <w:gridSpan w:val="2"/>
            <w:tcBorders>
              <w:top w:val="single" w:color="000000" w:sz="4" w:space="0"/>
              <w:left w:val="nil"/>
              <w:bottom w:val="single" w:color="000000" w:sz="4" w:space="0"/>
              <w:right w:val="single" w:color="000000" w:sz="4" w:space="0"/>
            </w:tcBorders>
            <w:shd w:val="clear" w:color="000000" w:fill="FFFFFF"/>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其他资金</w:t>
            </w:r>
          </w:p>
        </w:tc>
        <w:tc>
          <w:tcPr>
            <w:tcW w:w="383"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383"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4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48"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768"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4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64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4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73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402" w:hRule="atLeast"/>
        </w:trPr>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617" w:type="dxa"/>
            <w:gridSpan w:val="3"/>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2230" w:type="dxa"/>
            <w:gridSpan w:val="2"/>
            <w:tcBorders>
              <w:top w:val="single" w:color="000000" w:sz="4" w:space="0"/>
              <w:left w:val="nil"/>
              <w:bottom w:val="single" w:color="000000" w:sz="4" w:space="0"/>
              <w:right w:val="single" w:color="000000" w:sz="4" w:space="0"/>
            </w:tcBorders>
            <w:shd w:val="clear" w:color="000000" w:fill="FFFFFF"/>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旗市区拨款(本级)</w:t>
            </w:r>
          </w:p>
        </w:tc>
        <w:tc>
          <w:tcPr>
            <w:tcW w:w="383"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383"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4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48"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768"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4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64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4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73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402" w:hRule="atLeast"/>
        </w:trPr>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617" w:type="dxa"/>
            <w:gridSpan w:val="3"/>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2230" w:type="dxa"/>
            <w:gridSpan w:val="2"/>
            <w:tcBorders>
              <w:top w:val="single" w:color="000000" w:sz="4" w:space="0"/>
              <w:left w:val="nil"/>
              <w:bottom w:val="single" w:color="000000" w:sz="4" w:space="0"/>
              <w:right w:val="single" w:color="000000" w:sz="4" w:space="0"/>
            </w:tcBorders>
            <w:shd w:val="clear" w:color="000000" w:fill="FFFFFF"/>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中央拨款</w:t>
            </w:r>
          </w:p>
        </w:tc>
        <w:tc>
          <w:tcPr>
            <w:tcW w:w="383"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383"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4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48"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768"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4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64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4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73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402" w:hRule="atLeast"/>
        </w:trPr>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617" w:type="dxa"/>
            <w:gridSpan w:val="3"/>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2230" w:type="dxa"/>
            <w:gridSpan w:val="2"/>
            <w:tcBorders>
              <w:top w:val="single" w:color="000000" w:sz="4" w:space="0"/>
              <w:left w:val="nil"/>
              <w:bottom w:val="single" w:color="000000" w:sz="4" w:space="0"/>
              <w:right w:val="single" w:color="000000" w:sz="4" w:space="0"/>
            </w:tcBorders>
            <w:shd w:val="clear" w:color="000000" w:fill="FFFFFF"/>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自治区拨款</w:t>
            </w:r>
          </w:p>
        </w:tc>
        <w:tc>
          <w:tcPr>
            <w:tcW w:w="383"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383"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4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48"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768"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4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64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4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73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402" w:hRule="atLeast"/>
        </w:trPr>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617" w:type="dxa"/>
            <w:gridSpan w:val="3"/>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2230" w:type="dxa"/>
            <w:gridSpan w:val="2"/>
            <w:tcBorders>
              <w:top w:val="single" w:color="000000" w:sz="4" w:space="0"/>
              <w:left w:val="nil"/>
              <w:bottom w:val="single" w:color="000000" w:sz="4" w:space="0"/>
              <w:right w:val="single" w:color="000000" w:sz="4" w:space="0"/>
            </w:tcBorders>
            <w:shd w:val="clear" w:color="000000" w:fill="FFFFFF"/>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预算资金(本级追加)</w:t>
            </w:r>
          </w:p>
        </w:tc>
        <w:tc>
          <w:tcPr>
            <w:tcW w:w="383"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383"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4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48"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768"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4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64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4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73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402" w:hRule="atLeast"/>
        </w:trPr>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617" w:type="dxa"/>
            <w:gridSpan w:val="3"/>
            <w:vMerge w:val="restart"/>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资金支出情况（万元)</w:t>
            </w:r>
          </w:p>
        </w:tc>
        <w:tc>
          <w:tcPr>
            <w:tcW w:w="2613" w:type="dxa"/>
            <w:gridSpan w:val="3"/>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支出明细内容</w:t>
            </w:r>
          </w:p>
        </w:tc>
        <w:tc>
          <w:tcPr>
            <w:tcW w:w="1678" w:type="dxa"/>
            <w:gridSpan w:val="4"/>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型号</w:t>
            </w:r>
          </w:p>
        </w:tc>
        <w:tc>
          <w:tcPr>
            <w:tcW w:w="1415" w:type="dxa"/>
            <w:gridSpan w:val="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计量单位</w:t>
            </w:r>
          </w:p>
        </w:tc>
        <w:tc>
          <w:tcPr>
            <w:tcW w:w="64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数量</w:t>
            </w:r>
          </w:p>
        </w:tc>
        <w:tc>
          <w:tcPr>
            <w:tcW w:w="64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单价</w:t>
            </w:r>
          </w:p>
        </w:tc>
        <w:tc>
          <w:tcPr>
            <w:tcW w:w="73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总额</w:t>
            </w:r>
          </w:p>
        </w:tc>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402" w:hRule="atLeast"/>
        </w:trPr>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617" w:type="dxa"/>
            <w:gridSpan w:val="3"/>
            <w:vMerge w:val="continue"/>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jc w:val="left"/>
              <w:rPr>
                <w:rFonts w:hint="eastAsia" w:ascii="宋体" w:hAnsi="宋体" w:eastAsia="宋体" w:cs="宋体"/>
                <w:i w:val="0"/>
                <w:color w:val="auto"/>
                <w:sz w:val="18"/>
                <w:szCs w:val="18"/>
                <w:u w:val="none"/>
              </w:rPr>
            </w:pPr>
          </w:p>
        </w:tc>
        <w:tc>
          <w:tcPr>
            <w:tcW w:w="2613" w:type="dxa"/>
            <w:gridSpan w:val="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合计</w:t>
            </w:r>
          </w:p>
        </w:tc>
        <w:tc>
          <w:tcPr>
            <w:tcW w:w="1678" w:type="dxa"/>
            <w:gridSpan w:val="4"/>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1415" w:type="dxa"/>
            <w:gridSpan w:val="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64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1.00</w:t>
            </w:r>
          </w:p>
        </w:tc>
        <w:tc>
          <w:tcPr>
            <w:tcW w:w="64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1040.00</w:t>
            </w:r>
          </w:p>
        </w:tc>
        <w:tc>
          <w:tcPr>
            <w:tcW w:w="73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1040.00</w:t>
            </w:r>
          </w:p>
        </w:tc>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585" w:hRule="atLeast"/>
        </w:trPr>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617" w:type="dxa"/>
            <w:gridSpan w:val="3"/>
            <w:vMerge w:val="continue"/>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jc w:val="left"/>
              <w:rPr>
                <w:rFonts w:hint="eastAsia" w:ascii="宋体" w:hAnsi="宋体" w:eastAsia="宋体" w:cs="宋体"/>
                <w:i w:val="0"/>
                <w:color w:val="auto"/>
                <w:sz w:val="18"/>
                <w:szCs w:val="18"/>
                <w:u w:val="none"/>
              </w:rPr>
            </w:pPr>
          </w:p>
        </w:tc>
        <w:tc>
          <w:tcPr>
            <w:tcW w:w="2613" w:type="dxa"/>
            <w:gridSpan w:val="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呼伦贝尔市中心城区“城市双修”总体统筹与行动规划</w:t>
            </w:r>
          </w:p>
        </w:tc>
        <w:tc>
          <w:tcPr>
            <w:tcW w:w="1678" w:type="dxa"/>
            <w:gridSpan w:val="4"/>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见文件</w:t>
            </w:r>
          </w:p>
        </w:tc>
        <w:tc>
          <w:tcPr>
            <w:tcW w:w="1415" w:type="dxa"/>
            <w:gridSpan w:val="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项目个数</w:t>
            </w:r>
          </w:p>
        </w:tc>
        <w:tc>
          <w:tcPr>
            <w:tcW w:w="64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w:t>
            </w:r>
          </w:p>
        </w:tc>
        <w:tc>
          <w:tcPr>
            <w:tcW w:w="64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1040.00</w:t>
            </w:r>
          </w:p>
        </w:tc>
        <w:tc>
          <w:tcPr>
            <w:tcW w:w="73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1040.00</w:t>
            </w:r>
          </w:p>
        </w:tc>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1200" w:hRule="atLeast"/>
        </w:trPr>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617" w:type="dxa"/>
            <w:gridSpan w:val="3"/>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资金管理情况分析</w:t>
            </w:r>
          </w:p>
        </w:tc>
        <w:tc>
          <w:tcPr>
            <w:tcW w:w="7737" w:type="dxa"/>
            <w:gridSpan w:val="1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按照项目进展情况和合同约定，严格执行国库集中支付规定。</w:t>
            </w:r>
          </w:p>
        </w:tc>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1002" w:hRule="atLeast"/>
        </w:trPr>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617" w:type="dxa"/>
            <w:gridSpan w:val="3"/>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备注</w:t>
            </w:r>
          </w:p>
        </w:tc>
        <w:tc>
          <w:tcPr>
            <w:tcW w:w="7737" w:type="dxa"/>
            <w:gridSpan w:val="1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540" w:hRule="atLeast"/>
        </w:trPr>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617" w:type="dxa"/>
            <w:gridSpan w:val="3"/>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项目资金来源（全口径）</w:t>
            </w:r>
          </w:p>
        </w:tc>
        <w:tc>
          <w:tcPr>
            <w:tcW w:w="1004"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合计</w:t>
            </w:r>
          </w:p>
        </w:tc>
        <w:tc>
          <w:tcPr>
            <w:tcW w:w="1226"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1,040</w:t>
            </w:r>
          </w:p>
        </w:tc>
        <w:tc>
          <w:tcPr>
            <w:tcW w:w="383"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中央拨款</w:t>
            </w:r>
          </w:p>
        </w:tc>
        <w:tc>
          <w:tcPr>
            <w:tcW w:w="383"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w:t>
            </w:r>
          </w:p>
        </w:tc>
        <w:tc>
          <w:tcPr>
            <w:tcW w:w="1062"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自治区拨款</w:t>
            </w:r>
          </w:p>
        </w:tc>
        <w:tc>
          <w:tcPr>
            <w:tcW w:w="648"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w:t>
            </w:r>
          </w:p>
        </w:tc>
        <w:tc>
          <w:tcPr>
            <w:tcW w:w="1000"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市本级拨款</w:t>
            </w:r>
          </w:p>
        </w:tc>
        <w:tc>
          <w:tcPr>
            <w:tcW w:w="64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1040.00</w:t>
            </w:r>
          </w:p>
        </w:tc>
        <w:tc>
          <w:tcPr>
            <w:tcW w:w="64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其他（非本级）</w:t>
            </w:r>
          </w:p>
        </w:tc>
        <w:tc>
          <w:tcPr>
            <w:tcW w:w="73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w:t>
            </w:r>
          </w:p>
        </w:tc>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540" w:hRule="atLeast"/>
        </w:trPr>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8354" w:type="dxa"/>
            <w:gridSpan w:val="16"/>
            <w:tcBorders>
              <w:top w:val="single" w:color="000000" w:sz="4" w:space="0"/>
              <w:left w:val="nil"/>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18"/>
                <w:szCs w:val="18"/>
                <w:u w:val="none"/>
              </w:rPr>
            </w:pPr>
            <w:r>
              <w:rPr>
                <w:rFonts w:hint="eastAsia" w:ascii="宋体" w:hAnsi="宋体" w:eastAsia="宋体" w:cs="宋体"/>
                <w:b/>
                <w:i w:val="0"/>
                <w:color w:val="auto"/>
                <w:kern w:val="0"/>
                <w:sz w:val="18"/>
                <w:szCs w:val="18"/>
                <w:u w:val="none"/>
                <w:lang w:val="en-US" w:eastAsia="zh-CN" w:bidi="ar"/>
              </w:rPr>
              <w:t>三、绩效目标情况</w:t>
            </w:r>
          </w:p>
        </w:tc>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1422" w:hRule="atLeast"/>
        </w:trPr>
        <w:tc>
          <w:tcPr>
            <w:tcW w:w="240" w:type="dxa"/>
            <w:tcBorders>
              <w:top w:val="nil"/>
              <w:left w:val="nil"/>
              <w:bottom w:val="nil"/>
              <w:right w:val="nil"/>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　</w:t>
            </w:r>
          </w:p>
        </w:tc>
        <w:tc>
          <w:tcPr>
            <w:tcW w:w="205" w:type="dxa"/>
            <w:tcBorders>
              <w:top w:val="nil"/>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一级指标</w:t>
            </w:r>
          </w:p>
        </w:tc>
        <w:tc>
          <w:tcPr>
            <w:tcW w:w="206"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二级指标</w:t>
            </w:r>
          </w:p>
        </w:tc>
        <w:tc>
          <w:tcPr>
            <w:tcW w:w="206"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权重</w:t>
            </w:r>
          </w:p>
        </w:tc>
        <w:tc>
          <w:tcPr>
            <w:tcW w:w="1004"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得分</w:t>
            </w:r>
          </w:p>
        </w:tc>
        <w:tc>
          <w:tcPr>
            <w:tcW w:w="1226"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xml:space="preserve">得分(理由)依据 </w:t>
            </w:r>
          </w:p>
        </w:tc>
        <w:tc>
          <w:tcPr>
            <w:tcW w:w="1413" w:type="dxa"/>
            <w:gridSpan w:val="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预期目标</w:t>
            </w:r>
          </w:p>
        </w:tc>
        <w:tc>
          <w:tcPr>
            <w:tcW w:w="1063" w:type="dxa"/>
            <w:gridSpan w:val="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实际结果</w:t>
            </w:r>
          </w:p>
        </w:tc>
        <w:tc>
          <w:tcPr>
            <w:tcW w:w="1000"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指标说明</w:t>
            </w:r>
          </w:p>
        </w:tc>
        <w:tc>
          <w:tcPr>
            <w:tcW w:w="1294"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评分标准</w:t>
            </w:r>
          </w:p>
        </w:tc>
        <w:tc>
          <w:tcPr>
            <w:tcW w:w="737" w:type="dxa"/>
            <w:tcBorders>
              <w:top w:val="nil"/>
              <w:left w:val="nil"/>
              <w:bottom w:val="nil"/>
              <w:right w:val="nil"/>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　</w:t>
            </w:r>
          </w:p>
        </w:tc>
        <w:tc>
          <w:tcPr>
            <w:tcW w:w="240" w:type="dxa"/>
            <w:tcBorders>
              <w:top w:val="nil"/>
              <w:left w:val="nil"/>
              <w:bottom w:val="nil"/>
              <w:right w:val="nil"/>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　</w:t>
            </w:r>
          </w:p>
        </w:tc>
      </w:tr>
      <w:tr>
        <w:tblPrEx>
          <w:shd w:val="clear" w:color="auto" w:fill="auto"/>
          <w:tblCellMar>
            <w:top w:w="0" w:type="dxa"/>
            <w:left w:w="0" w:type="dxa"/>
            <w:bottom w:w="0" w:type="dxa"/>
            <w:right w:w="0" w:type="dxa"/>
          </w:tblCellMar>
        </w:tblPrEx>
        <w:trPr>
          <w:trHeight w:val="1422" w:hRule="atLeast"/>
        </w:trPr>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205" w:type="dxa"/>
            <w:vMerge w:val="restart"/>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产出指标</w:t>
            </w:r>
          </w:p>
        </w:tc>
        <w:tc>
          <w:tcPr>
            <w:tcW w:w="20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质量指标</w:t>
            </w:r>
          </w:p>
        </w:tc>
        <w:tc>
          <w:tcPr>
            <w:tcW w:w="20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13</w:t>
            </w:r>
          </w:p>
        </w:tc>
        <w:tc>
          <w:tcPr>
            <w:tcW w:w="100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13.00</w:t>
            </w:r>
          </w:p>
        </w:tc>
        <w:tc>
          <w:tcPr>
            <w:tcW w:w="122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《呼伦贝尔市中心城区“城市双修”总体统筹与行动规划》最终成果的分析研究内容全面、合理、深入</w:t>
            </w:r>
          </w:p>
        </w:tc>
        <w:tc>
          <w:tcPr>
            <w:tcW w:w="1413"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《呼伦贝尔市中心城区“城市双修”总体统筹与行动规划》最终成果的分析研究内容全面、合理、深入</w:t>
            </w:r>
          </w:p>
        </w:tc>
        <w:tc>
          <w:tcPr>
            <w:tcW w:w="1063"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《呼伦贝尔市中心城区“城市双修”总体统筹与行动规划》最终成果的分析研究内容全面、合理、深入</w:t>
            </w:r>
          </w:p>
        </w:tc>
        <w:tc>
          <w:tcPr>
            <w:tcW w:w="1000"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评价项目是否进行验收，验收情况。验收合格得满分，不合格0分</w:t>
            </w:r>
          </w:p>
        </w:tc>
        <w:tc>
          <w:tcPr>
            <w:tcW w:w="1294"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项目完成的质量验收情况，用以反映和考核项目产出质量目标的实现程度</w:t>
            </w:r>
          </w:p>
        </w:tc>
        <w:tc>
          <w:tcPr>
            <w:tcW w:w="737"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1422" w:hRule="atLeast"/>
        </w:trPr>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205" w:type="dxa"/>
            <w:vMerge w:val="continue"/>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20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数量指标</w:t>
            </w:r>
          </w:p>
        </w:tc>
        <w:tc>
          <w:tcPr>
            <w:tcW w:w="20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13</w:t>
            </w:r>
          </w:p>
        </w:tc>
        <w:tc>
          <w:tcPr>
            <w:tcW w:w="100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13.00</w:t>
            </w:r>
          </w:p>
        </w:tc>
        <w:tc>
          <w:tcPr>
            <w:tcW w:w="122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规划范围为呼伦贝尔市中心城区380平方千米（城市外环路范围，包括老城区、新区和巴彦托海镇），开展生态修复和城市修补工作。最终要求提供的成果包括呼伦贝尔市中心城区城市双修综合评估总报告及13项专题评估报告；呼伦贝尔市中心城区城市双修总体统筹报告、专项规划、专题行动文件；实施计划、概念方案、相关指引、政策等。</w:t>
            </w:r>
          </w:p>
        </w:tc>
        <w:tc>
          <w:tcPr>
            <w:tcW w:w="1413"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规划范围为呼伦贝尔市中心城区380平方千米（城市外环路范围，包括老城区、新区和巴彦托海镇），开展生态修复和城市修补工作。最终要求提供的成果包括呼伦贝尔市中心城区城市双修综合评估总报告及13项专题评估报告；呼伦贝尔市中心城区城市双修总体统筹报告、专项规划、专题行动文件；实施计划、概念方案、相关指引、政策等。</w:t>
            </w:r>
          </w:p>
        </w:tc>
        <w:tc>
          <w:tcPr>
            <w:tcW w:w="1063"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规划范围为呼伦贝尔市中心城区380平方千米（城市外环路范围，包括老城区、新区和巴彦托海镇），开展生态修复和城市修补工作。最终要求提供的成果包括呼伦贝尔市中心城区城市双修综合评估总报告及13项专题评估报告；呼伦贝尔市中心城区城市双修总体统筹报告、专项规划、专题行动文件；实施计划、概念方案、相关指引、政策等。</w:t>
            </w:r>
          </w:p>
        </w:tc>
        <w:tc>
          <w:tcPr>
            <w:tcW w:w="1000"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xml:space="preserve"> 实际产出数：一定时期（本年度或项目期）内项目实际产出的产品或提供的服务数量。 计划产出数：项目绩效目标确定的在一定时期（本年度或项目期）内计划产出的产品或提供的服务数量。实际完成率=（实际产出数/计划产出数）×100%。100%得满分，90%以上得指标分值的60%，80%以上得20%，低于80%得0分</w:t>
            </w:r>
          </w:p>
        </w:tc>
        <w:tc>
          <w:tcPr>
            <w:tcW w:w="1294"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项目实施的计划产出数，用以反映和考核项目产出数量目标的实现程度</w:t>
            </w:r>
          </w:p>
        </w:tc>
        <w:tc>
          <w:tcPr>
            <w:tcW w:w="737"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1422" w:hRule="atLeast"/>
        </w:trPr>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205" w:type="dxa"/>
            <w:vMerge w:val="continue"/>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20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时效指标</w:t>
            </w:r>
          </w:p>
        </w:tc>
        <w:tc>
          <w:tcPr>
            <w:tcW w:w="20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12</w:t>
            </w:r>
          </w:p>
        </w:tc>
        <w:tc>
          <w:tcPr>
            <w:tcW w:w="100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12.00</w:t>
            </w:r>
          </w:p>
        </w:tc>
        <w:tc>
          <w:tcPr>
            <w:tcW w:w="122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2019年底前完成《呼伦贝尔市中心城区“城市双修”总体统筹与行动规划》最终成果。</w:t>
            </w:r>
          </w:p>
        </w:tc>
        <w:tc>
          <w:tcPr>
            <w:tcW w:w="1413"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2019年底前完成《呼伦贝尔市中心城区“城市双修”总体统筹与行动规划》最终成果。</w:t>
            </w:r>
          </w:p>
        </w:tc>
        <w:tc>
          <w:tcPr>
            <w:tcW w:w="1063"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2019年底前完成《呼伦贝尔市中心城区“城市双修”总体统筹与行动规划》最终成果。</w:t>
            </w:r>
          </w:p>
        </w:tc>
        <w:tc>
          <w:tcPr>
            <w:tcW w:w="1000"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完成及时率=[（计划完成时间-实际完成时间）/计划完成时间]×100%。 实际完成时间：项目实施单位完成该项目实际所耗用的时间。 计划完成时间：按照项目实施计划或相关规定完成该项目所需的时间。全部执行政府采购的得满分，应执行未执行的不得分。</w:t>
            </w:r>
          </w:p>
        </w:tc>
        <w:tc>
          <w:tcPr>
            <w:tcW w:w="1294"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项目实际提前完成时间与计划完成时间的比率，用以反映和考核项目产出时效目标的实现程度</w:t>
            </w:r>
          </w:p>
        </w:tc>
        <w:tc>
          <w:tcPr>
            <w:tcW w:w="737"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1422" w:hRule="atLeast"/>
        </w:trPr>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205" w:type="dxa"/>
            <w:vMerge w:val="continue"/>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20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成本指标</w:t>
            </w:r>
          </w:p>
        </w:tc>
        <w:tc>
          <w:tcPr>
            <w:tcW w:w="20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12</w:t>
            </w:r>
          </w:p>
        </w:tc>
        <w:tc>
          <w:tcPr>
            <w:tcW w:w="100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12.00</w:t>
            </w:r>
          </w:p>
        </w:tc>
        <w:tc>
          <w:tcPr>
            <w:tcW w:w="122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财政预算内完成最终成果</w:t>
            </w:r>
          </w:p>
        </w:tc>
        <w:tc>
          <w:tcPr>
            <w:tcW w:w="1413"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财政预算内完成最终成果</w:t>
            </w:r>
          </w:p>
        </w:tc>
        <w:tc>
          <w:tcPr>
            <w:tcW w:w="1063"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财政预算内完成最终成果</w:t>
            </w:r>
          </w:p>
        </w:tc>
        <w:tc>
          <w:tcPr>
            <w:tcW w:w="1000"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项目测算投资和预算对比情况。按项目实际情况酌情打分。</w:t>
            </w:r>
          </w:p>
        </w:tc>
        <w:tc>
          <w:tcPr>
            <w:tcW w:w="1294"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项目完成后的实际成本与预算对比情况</w:t>
            </w:r>
          </w:p>
        </w:tc>
        <w:tc>
          <w:tcPr>
            <w:tcW w:w="737"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1422" w:hRule="atLeast"/>
        </w:trPr>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205"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满意度指标</w:t>
            </w:r>
          </w:p>
        </w:tc>
        <w:tc>
          <w:tcPr>
            <w:tcW w:w="20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社会公众或服务对象满意度</w:t>
            </w:r>
          </w:p>
        </w:tc>
        <w:tc>
          <w:tcPr>
            <w:tcW w:w="20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w:t>
            </w:r>
          </w:p>
        </w:tc>
        <w:tc>
          <w:tcPr>
            <w:tcW w:w="100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10.00</w:t>
            </w:r>
          </w:p>
        </w:tc>
        <w:tc>
          <w:tcPr>
            <w:tcW w:w="122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社会公众或服务对象满意度良好</w:t>
            </w:r>
          </w:p>
        </w:tc>
        <w:tc>
          <w:tcPr>
            <w:tcW w:w="1413"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社会公众或服务对象满意度良好</w:t>
            </w:r>
          </w:p>
        </w:tc>
        <w:tc>
          <w:tcPr>
            <w:tcW w:w="1063"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社会公众或服务对象满意度良好</w:t>
            </w:r>
          </w:p>
        </w:tc>
        <w:tc>
          <w:tcPr>
            <w:tcW w:w="1000"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社会公众或服务对象是指因该项目实施而受到影响的部门（单位）、群体或个人。一般采取社会调查的方式。</w:t>
            </w:r>
          </w:p>
        </w:tc>
        <w:tc>
          <w:tcPr>
            <w:tcW w:w="1294"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社会公众或服务对象对项目实施效果的满意程度</w:t>
            </w:r>
          </w:p>
        </w:tc>
        <w:tc>
          <w:tcPr>
            <w:tcW w:w="737"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1422" w:hRule="atLeast"/>
        </w:trPr>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205" w:type="dxa"/>
            <w:vMerge w:val="restart"/>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效益指标</w:t>
            </w:r>
          </w:p>
        </w:tc>
        <w:tc>
          <w:tcPr>
            <w:tcW w:w="20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经济效益</w:t>
            </w:r>
          </w:p>
        </w:tc>
        <w:tc>
          <w:tcPr>
            <w:tcW w:w="20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w:t>
            </w:r>
          </w:p>
        </w:tc>
        <w:tc>
          <w:tcPr>
            <w:tcW w:w="100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10.00</w:t>
            </w:r>
          </w:p>
        </w:tc>
        <w:tc>
          <w:tcPr>
            <w:tcW w:w="122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经济效益良好</w:t>
            </w:r>
          </w:p>
        </w:tc>
        <w:tc>
          <w:tcPr>
            <w:tcW w:w="1413"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经济效益良好</w:t>
            </w:r>
          </w:p>
        </w:tc>
        <w:tc>
          <w:tcPr>
            <w:tcW w:w="1063"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经济效益良好</w:t>
            </w:r>
          </w:p>
        </w:tc>
        <w:tc>
          <w:tcPr>
            <w:tcW w:w="1000"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可根据项目实际并结合绩效目标设立情况有选择的进行设置，并将其细化为相应的个性化指标。</w:t>
            </w:r>
          </w:p>
        </w:tc>
        <w:tc>
          <w:tcPr>
            <w:tcW w:w="1294"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项目实施对经济发展所带来的直接或间接影响情况</w:t>
            </w:r>
          </w:p>
        </w:tc>
        <w:tc>
          <w:tcPr>
            <w:tcW w:w="737"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1422" w:hRule="atLeast"/>
        </w:trPr>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205" w:type="dxa"/>
            <w:vMerge w:val="continue"/>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20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社会效益</w:t>
            </w:r>
          </w:p>
        </w:tc>
        <w:tc>
          <w:tcPr>
            <w:tcW w:w="20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w:t>
            </w:r>
          </w:p>
        </w:tc>
        <w:tc>
          <w:tcPr>
            <w:tcW w:w="100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10.00</w:t>
            </w:r>
          </w:p>
        </w:tc>
        <w:tc>
          <w:tcPr>
            <w:tcW w:w="122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社会效益良好</w:t>
            </w:r>
          </w:p>
        </w:tc>
        <w:tc>
          <w:tcPr>
            <w:tcW w:w="1413"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社会效益良好</w:t>
            </w:r>
          </w:p>
        </w:tc>
        <w:tc>
          <w:tcPr>
            <w:tcW w:w="1063"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社会效益良好</w:t>
            </w:r>
          </w:p>
        </w:tc>
        <w:tc>
          <w:tcPr>
            <w:tcW w:w="1000"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可根据项目实际并结合绩效目标设立情况有选择的进行设置，并将其细化为相应的个性化指标。</w:t>
            </w:r>
          </w:p>
        </w:tc>
        <w:tc>
          <w:tcPr>
            <w:tcW w:w="1294"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项目实施对社会发展所带来的直接或间接影响情况</w:t>
            </w:r>
          </w:p>
        </w:tc>
        <w:tc>
          <w:tcPr>
            <w:tcW w:w="737"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1422" w:hRule="atLeast"/>
        </w:trPr>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205" w:type="dxa"/>
            <w:vMerge w:val="continue"/>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20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生态效益</w:t>
            </w:r>
          </w:p>
        </w:tc>
        <w:tc>
          <w:tcPr>
            <w:tcW w:w="20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w:t>
            </w:r>
          </w:p>
        </w:tc>
        <w:tc>
          <w:tcPr>
            <w:tcW w:w="100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10.00</w:t>
            </w:r>
          </w:p>
        </w:tc>
        <w:tc>
          <w:tcPr>
            <w:tcW w:w="122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生态效益良好</w:t>
            </w:r>
          </w:p>
        </w:tc>
        <w:tc>
          <w:tcPr>
            <w:tcW w:w="1413"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生态效益良好</w:t>
            </w:r>
          </w:p>
        </w:tc>
        <w:tc>
          <w:tcPr>
            <w:tcW w:w="1063"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生态效益良好</w:t>
            </w:r>
          </w:p>
        </w:tc>
        <w:tc>
          <w:tcPr>
            <w:tcW w:w="1000"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xml:space="preserve">  可根据项目实际并结合绩效目标设立情况有选择的进行设置，并将其细化为相应的个性化指标。</w:t>
            </w:r>
          </w:p>
        </w:tc>
        <w:tc>
          <w:tcPr>
            <w:tcW w:w="1294"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项目实施对生态环境所带来的直接或间接影响情况</w:t>
            </w:r>
          </w:p>
        </w:tc>
        <w:tc>
          <w:tcPr>
            <w:tcW w:w="737"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1422" w:hRule="atLeast"/>
        </w:trPr>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205" w:type="dxa"/>
            <w:vMerge w:val="continue"/>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20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可持续影响</w:t>
            </w:r>
          </w:p>
        </w:tc>
        <w:tc>
          <w:tcPr>
            <w:tcW w:w="20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w:t>
            </w:r>
          </w:p>
        </w:tc>
        <w:tc>
          <w:tcPr>
            <w:tcW w:w="1004"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10.00</w:t>
            </w:r>
          </w:p>
        </w:tc>
        <w:tc>
          <w:tcPr>
            <w:tcW w:w="1226"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可持续影响良好</w:t>
            </w:r>
          </w:p>
        </w:tc>
        <w:tc>
          <w:tcPr>
            <w:tcW w:w="1413"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可持续影响良好</w:t>
            </w:r>
          </w:p>
        </w:tc>
        <w:tc>
          <w:tcPr>
            <w:tcW w:w="1063"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可持续影响良好</w:t>
            </w:r>
          </w:p>
        </w:tc>
        <w:tc>
          <w:tcPr>
            <w:tcW w:w="1000"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可根据项目实际并结合绩效目标设立情况有选择的进行设置，并将其细化为相应的个性化指标。</w:t>
            </w:r>
          </w:p>
        </w:tc>
        <w:tc>
          <w:tcPr>
            <w:tcW w:w="1294"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项目后续运行及成效发挥的可持续影响情况</w:t>
            </w:r>
          </w:p>
        </w:tc>
        <w:tc>
          <w:tcPr>
            <w:tcW w:w="737"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552" w:hRule="atLeast"/>
        </w:trPr>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8354" w:type="dxa"/>
            <w:gridSpan w:val="1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18"/>
                <w:szCs w:val="18"/>
                <w:u w:val="none"/>
              </w:rPr>
            </w:pPr>
            <w:r>
              <w:rPr>
                <w:rFonts w:hint="eastAsia" w:ascii="宋体" w:hAnsi="宋体" w:eastAsia="宋体" w:cs="宋体"/>
                <w:b/>
                <w:i w:val="0"/>
                <w:color w:val="auto"/>
                <w:kern w:val="0"/>
                <w:sz w:val="18"/>
                <w:szCs w:val="18"/>
                <w:u w:val="none"/>
                <w:lang w:val="en-US" w:eastAsia="zh-CN" w:bidi="ar"/>
              </w:rPr>
              <w:t>四、项目绩效综合评价意见</w:t>
            </w:r>
          </w:p>
        </w:tc>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402" w:hRule="atLeast"/>
        </w:trPr>
        <w:tc>
          <w:tcPr>
            <w:tcW w:w="240" w:type="dxa"/>
            <w:tcBorders>
              <w:top w:val="nil"/>
              <w:left w:val="nil"/>
              <w:bottom w:val="nil"/>
              <w:right w:val="nil"/>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　</w:t>
            </w:r>
          </w:p>
        </w:tc>
        <w:tc>
          <w:tcPr>
            <w:tcW w:w="617" w:type="dxa"/>
            <w:gridSpan w:val="3"/>
            <w:vMerge w:val="restart"/>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评价组成员</w:t>
            </w:r>
          </w:p>
        </w:tc>
        <w:tc>
          <w:tcPr>
            <w:tcW w:w="2230"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姓名</w:t>
            </w:r>
          </w:p>
        </w:tc>
        <w:tc>
          <w:tcPr>
            <w:tcW w:w="1828" w:type="dxa"/>
            <w:gridSpan w:val="4"/>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职称</w:t>
            </w:r>
          </w:p>
        </w:tc>
        <w:tc>
          <w:tcPr>
            <w:tcW w:w="2942" w:type="dxa"/>
            <w:gridSpan w:val="6"/>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工作单位</w:t>
            </w:r>
          </w:p>
        </w:tc>
        <w:tc>
          <w:tcPr>
            <w:tcW w:w="73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签名</w:t>
            </w:r>
          </w:p>
        </w:tc>
        <w:tc>
          <w:tcPr>
            <w:tcW w:w="240" w:type="dxa"/>
            <w:tcBorders>
              <w:top w:val="nil"/>
              <w:left w:val="nil"/>
              <w:bottom w:val="nil"/>
              <w:right w:val="nil"/>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　</w:t>
            </w:r>
          </w:p>
        </w:tc>
      </w:tr>
      <w:tr>
        <w:tblPrEx>
          <w:shd w:val="clear" w:color="auto" w:fill="auto"/>
          <w:tblCellMar>
            <w:top w:w="0" w:type="dxa"/>
            <w:left w:w="0" w:type="dxa"/>
            <w:bottom w:w="0" w:type="dxa"/>
            <w:right w:w="0" w:type="dxa"/>
          </w:tblCellMar>
        </w:tblPrEx>
        <w:trPr>
          <w:trHeight w:val="402" w:hRule="atLeast"/>
        </w:trPr>
        <w:tc>
          <w:tcPr>
            <w:tcW w:w="240" w:type="dxa"/>
            <w:tcBorders>
              <w:top w:val="nil"/>
              <w:left w:val="nil"/>
              <w:bottom w:val="nil"/>
              <w:right w:val="nil"/>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　</w:t>
            </w:r>
          </w:p>
        </w:tc>
        <w:tc>
          <w:tcPr>
            <w:tcW w:w="617" w:type="dxa"/>
            <w:gridSpan w:val="3"/>
            <w:vMerge w:val="continue"/>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2230"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张文春</w:t>
            </w:r>
          </w:p>
        </w:tc>
        <w:tc>
          <w:tcPr>
            <w:tcW w:w="1828" w:type="dxa"/>
            <w:gridSpan w:val="4"/>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城乡详规科科长</w:t>
            </w:r>
          </w:p>
        </w:tc>
        <w:tc>
          <w:tcPr>
            <w:tcW w:w="2942" w:type="dxa"/>
            <w:gridSpan w:val="6"/>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呼伦贝尔市自然资源局</w:t>
            </w:r>
          </w:p>
        </w:tc>
        <w:tc>
          <w:tcPr>
            <w:tcW w:w="73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240" w:type="dxa"/>
            <w:tcBorders>
              <w:top w:val="nil"/>
              <w:left w:val="nil"/>
              <w:bottom w:val="nil"/>
              <w:right w:val="nil"/>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　</w:t>
            </w:r>
          </w:p>
        </w:tc>
      </w:tr>
      <w:tr>
        <w:tblPrEx>
          <w:shd w:val="clear" w:color="auto" w:fill="auto"/>
          <w:tblCellMar>
            <w:top w:w="0" w:type="dxa"/>
            <w:left w:w="0" w:type="dxa"/>
            <w:bottom w:w="0" w:type="dxa"/>
            <w:right w:w="0" w:type="dxa"/>
          </w:tblCellMar>
        </w:tblPrEx>
        <w:trPr>
          <w:trHeight w:val="402" w:hRule="atLeast"/>
        </w:trPr>
        <w:tc>
          <w:tcPr>
            <w:tcW w:w="240" w:type="dxa"/>
            <w:tcBorders>
              <w:top w:val="nil"/>
              <w:left w:val="nil"/>
              <w:bottom w:val="nil"/>
              <w:right w:val="nil"/>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　</w:t>
            </w:r>
          </w:p>
        </w:tc>
        <w:tc>
          <w:tcPr>
            <w:tcW w:w="617" w:type="dxa"/>
            <w:gridSpan w:val="3"/>
            <w:vMerge w:val="continue"/>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2230"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宫春</w:t>
            </w:r>
          </w:p>
        </w:tc>
        <w:tc>
          <w:tcPr>
            <w:tcW w:w="1828" w:type="dxa"/>
            <w:gridSpan w:val="4"/>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财务审计科科员</w:t>
            </w:r>
          </w:p>
        </w:tc>
        <w:tc>
          <w:tcPr>
            <w:tcW w:w="2942" w:type="dxa"/>
            <w:gridSpan w:val="6"/>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呼伦贝尔市自然资源局</w:t>
            </w:r>
          </w:p>
        </w:tc>
        <w:tc>
          <w:tcPr>
            <w:tcW w:w="73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240" w:type="dxa"/>
            <w:tcBorders>
              <w:top w:val="nil"/>
              <w:left w:val="nil"/>
              <w:bottom w:val="nil"/>
              <w:right w:val="nil"/>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　</w:t>
            </w:r>
          </w:p>
        </w:tc>
      </w:tr>
      <w:tr>
        <w:tblPrEx>
          <w:shd w:val="clear" w:color="auto" w:fill="auto"/>
          <w:tblCellMar>
            <w:top w:w="0" w:type="dxa"/>
            <w:left w:w="0" w:type="dxa"/>
            <w:bottom w:w="0" w:type="dxa"/>
            <w:right w:w="0" w:type="dxa"/>
          </w:tblCellMar>
        </w:tblPrEx>
        <w:trPr>
          <w:trHeight w:val="402" w:hRule="atLeast"/>
        </w:trPr>
        <w:tc>
          <w:tcPr>
            <w:tcW w:w="240" w:type="dxa"/>
            <w:tcBorders>
              <w:top w:val="nil"/>
              <w:left w:val="nil"/>
              <w:bottom w:val="nil"/>
              <w:right w:val="nil"/>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　</w:t>
            </w:r>
          </w:p>
        </w:tc>
        <w:tc>
          <w:tcPr>
            <w:tcW w:w="617" w:type="dxa"/>
            <w:gridSpan w:val="3"/>
            <w:vMerge w:val="continue"/>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2230"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陈琳</w:t>
            </w:r>
          </w:p>
        </w:tc>
        <w:tc>
          <w:tcPr>
            <w:tcW w:w="1828" w:type="dxa"/>
            <w:gridSpan w:val="4"/>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城乡详规科科员</w:t>
            </w:r>
          </w:p>
        </w:tc>
        <w:tc>
          <w:tcPr>
            <w:tcW w:w="2942" w:type="dxa"/>
            <w:gridSpan w:val="6"/>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呼伦贝尔市自然资源局</w:t>
            </w:r>
          </w:p>
        </w:tc>
        <w:tc>
          <w:tcPr>
            <w:tcW w:w="737"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240" w:type="dxa"/>
            <w:tcBorders>
              <w:top w:val="nil"/>
              <w:left w:val="nil"/>
              <w:bottom w:val="nil"/>
              <w:right w:val="nil"/>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　</w:t>
            </w:r>
          </w:p>
        </w:tc>
      </w:tr>
      <w:tr>
        <w:tblPrEx>
          <w:shd w:val="clear" w:color="auto" w:fill="auto"/>
          <w:tblCellMar>
            <w:top w:w="0" w:type="dxa"/>
            <w:left w:w="0" w:type="dxa"/>
            <w:bottom w:w="0" w:type="dxa"/>
            <w:right w:w="0" w:type="dxa"/>
          </w:tblCellMar>
        </w:tblPrEx>
        <w:trPr>
          <w:trHeight w:val="627" w:hRule="atLeast"/>
        </w:trPr>
        <w:tc>
          <w:tcPr>
            <w:tcW w:w="240" w:type="dxa"/>
            <w:tcBorders>
              <w:top w:val="nil"/>
              <w:left w:val="nil"/>
              <w:bottom w:val="nil"/>
              <w:right w:val="nil"/>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　</w:t>
            </w:r>
          </w:p>
        </w:tc>
        <w:tc>
          <w:tcPr>
            <w:tcW w:w="617" w:type="dxa"/>
            <w:gridSpan w:val="3"/>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综合评价得分</w:t>
            </w:r>
          </w:p>
        </w:tc>
        <w:tc>
          <w:tcPr>
            <w:tcW w:w="7737" w:type="dxa"/>
            <w:gridSpan w:val="1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100.00</w:t>
            </w:r>
          </w:p>
        </w:tc>
        <w:tc>
          <w:tcPr>
            <w:tcW w:w="240" w:type="dxa"/>
            <w:tcBorders>
              <w:top w:val="nil"/>
              <w:left w:val="nil"/>
              <w:bottom w:val="nil"/>
              <w:right w:val="nil"/>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　</w:t>
            </w:r>
          </w:p>
        </w:tc>
      </w:tr>
      <w:tr>
        <w:tblPrEx>
          <w:shd w:val="clear" w:color="auto" w:fill="auto"/>
          <w:tblCellMar>
            <w:top w:w="0" w:type="dxa"/>
            <w:left w:w="0" w:type="dxa"/>
            <w:bottom w:w="0" w:type="dxa"/>
            <w:right w:w="0" w:type="dxa"/>
          </w:tblCellMar>
        </w:tblPrEx>
        <w:trPr>
          <w:trHeight w:val="709" w:hRule="atLeast"/>
        </w:trPr>
        <w:tc>
          <w:tcPr>
            <w:tcW w:w="240" w:type="dxa"/>
            <w:tcBorders>
              <w:top w:val="nil"/>
              <w:left w:val="nil"/>
              <w:bottom w:val="nil"/>
              <w:right w:val="nil"/>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　</w:t>
            </w:r>
          </w:p>
        </w:tc>
        <w:tc>
          <w:tcPr>
            <w:tcW w:w="617" w:type="dxa"/>
            <w:gridSpan w:val="3"/>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综合绩效等级</w:t>
            </w:r>
          </w:p>
        </w:tc>
        <w:tc>
          <w:tcPr>
            <w:tcW w:w="7737" w:type="dxa"/>
            <w:gridSpan w:val="1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优</w:t>
            </w:r>
          </w:p>
        </w:tc>
        <w:tc>
          <w:tcPr>
            <w:tcW w:w="240" w:type="dxa"/>
            <w:tcBorders>
              <w:top w:val="nil"/>
              <w:left w:val="nil"/>
              <w:bottom w:val="nil"/>
              <w:right w:val="nil"/>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　</w:t>
            </w:r>
          </w:p>
        </w:tc>
      </w:tr>
      <w:tr>
        <w:tblPrEx>
          <w:shd w:val="clear" w:color="auto" w:fill="auto"/>
          <w:tblCellMar>
            <w:top w:w="0" w:type="dxa"/>
            <w:left w:w="0" w:type="dxa"/>
            <w:bottom w:w="0" w:type="dxa"/>
            <w:right w:w="0" w:type="dxa"/>
          </w:tblCellMar>
        </w:tblPrEx>
        <w:trPr>
          <w:trHeight w:val="720" w:hRule="atLeast"/>
        </w:trPr>
        <w:tc>
          <w:tcPr>
            <w:tcW w:w="240" w:type="dxa"/>
            <w:tcBorders>
              <w:top w:val="nil"/>
              <w:left w:val="nil"/>
              <w:bottom w:val="nil"/>
              <w:right w:val="nil"/>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　</w:t>
            </w:r>
          </w:p>
        </w:tc>
        <w:tc>
          <w:tcPr>
            <w:tcW w:w="617" w:type="dxa"/>
            <w:gridSpan w:val="3"/>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综合评价意见</w:t>
            </w:r>
          </w:p>
        </w:tc>
        <w:tc>
          <w:tcPr>
            <w:tcW w:w="7737" w:type="dxa"/>
            <w:gridSpan w:val="1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优秀</w:t>
            </w:r>
          </w:p>
        </w:tc>
        <w:tc>
          <w:tcPr>
            <w:tcW w:w="240" w:type="dxa"/>
            <w:tcBorders>
              <w:top w:val="nil"/>
              <w:left w:val="nil"/>
              <w:bottom w:val="nil"/>
              <w:right w:val="nil"/>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　</w:t>
            </w:r>
          </w:p>
        </w:tc>
      </w:tr>
      <w:tr>
        <w:tblPrEx>
          <w:shd w:val="clear" w:color="auto" w:fill="auto"/>
          <w:tblCellMar>
            <w:top w:w="0" w:type="dxa"/>
            <w:left w:w="0" w:type="dxa"/>
            <w:bottom w:w="0" w:type="dxa"/>
            <w:right w:w="0" w:type="dxa"/>
          </w:tblCellMar>
        </w:tblPrEx>
        <w:trPr>
          <w:trHeight w:val="709" w:hRule="atLeast"/>
        </w:trPr>
        <w:tc>
          <w:tcPr>
            <w:tcW w:w="240" w:type="dxa"/>
            <w:tcBorders>
              <w:top w:val="nil"/>
              <w:left w:val="nil"/>
              <w:bottom w:val="nil"/>
              <w:right w:val="nil"/>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　</w:t>
            </w:r>
          </w:p>
        </w:tc>
        <w:tc>
          <w:tcPr>
            <w:tcW w:w="617" w:type="dxa"/>
            <w:gridSpan w:val="3"/>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综合评价问题</w:t>
            </w:r>
          </w:p>
        </w:tc>
        <w:tc>
          <w:tcPr>
            <w:tcW w:w="7737" w:type="dxa"/>
            <w:gridSpan w:val="1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无</w:t>
            </w:r>
          </w:p>
        </w:tc>
        <w:tc>
          <w:tcPr>
            <w:tcW w:w="240" w:type="dxa"/>
            <w:tcBorders>
              <w:top w:val="nil"/>
              <w:left w:val="nil"/>
              <w:bottom w:val="nil"/>
              <w:right w:val="nil"/>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　</w:t>
            </w:r>
          </w:p>
        </w:tc>
      </w:tr>
      <w:tr>
        <w:tblPrEx>
          <w:shd w:val="clear" w:color="auto" w:fill="auto"/>
          <w:tblCellMar>
            <w:top w:w="0" w:type="dxa"/>
            <w:left w:w="0" w:type="dxa"/>
            <w:bottom w:w="0" w:type="dxa"/>
            <w:right w:w="0" w:type="dxa"/>
          </w:tblCellMar>
        </w:tblPrEx>
        <w:trPr>
          <w:trHeight w:val="312" w:hRule="atLeast"/>
        </w:trPr>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8354" w:type="dxa"/>
            <w:gridSpan w:val="16"/>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18"/>
                <w:szCs w:val="18"/>
                <w:u w:val="none"/>
              </w:rPr>
            </w:pPr>
            <w:r>
              <w:rPr>
                <w:rFonts w:hint="eastAsia" w:ascii="宋体" w:hAnsi="宋体" w:eastAsia="宋体" w:cs="宋体"/>
                <w:b/>
                <w:i w:val="0"/>
                <w:color w:val="auto"/>
                <w:kern w:val="0"/>
                <w:sz w:val="18"/>
                <w:szCs w:val="18"/>
                <w:u w:val="none"/>
                <w:lang w:val="en-US" w:eastAsia="zh-CN" w:bidi="ar"/>
              </w:rPr>
              <w:t>审核意见</w:t>
            </w:r>
          </w:p>
        </w:tc>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default" w:ascii="monospace" w:hAnsi="monospace" w:eastAsia="monospace" w:cs="monospace"/>
                <w:b/>
                <w:i w:val="0"/>
                <w:color w:val="auto"/>
                <w:sz w:val="32"/>
                <w:szCs w:val="32"/>
                <w:u w:val="none"/>
              </w:rPr>
            </w:pPr>
          </w:p>
        </w:tc>
      </w:tr>
      <w:tr>
        <w:tblPrEx>
          <w:shd w:val="clear" w:color="auto" w:fill="auto"/>
          <w:tblCellMar>
            <w:top w:w="0" w:type="dxa"/>
            <w:left w:w="0" w:type="dxa"/>
            <w:bottom w:w="0" w:type="dxa"/>
            <w:right w:w="0" w:type="dxa"/>
          </w:tblCellMar>
        </w:tblPrEx>
        <w:trPr>
          <w:trHeight w:val="1602" w:hRule="atLeast"/>
        </w:trPr>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617" w:type="dxa"/>
            <w:gridSpan w:val="3"/>
            <w:vMerge w:val="restart"/>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申报单位签章</w:t>
            </w:r>
          </w:p>
        </w:tc>
        <w:tc>
          <w:tcPr>
            <w:tcW w:w="3643" w:type="dxa"/>
            <w:gridSpan w:val="5"/>
            <w:tcBorders>
              <w:top w:val="single" w:color="000000" w:sz="4" w:space="0"/>
              <w:left w:val="nil"/>
              <w:bottom w:val="nil"/>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提交评审</w:t>
            </w:r>
          </w:p>
        </w:tc>
        <w:tc>
          <w:tcPr>
            <w:tcW w:w="1416" w:type="dxa"/>
            <w:gridSpan w:val="4"/>
            <w:vMerge w:val="restart"/>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业务科室审核意见</w:t>
            </w:r>
          </w:p>
        </w:tc>
        <w:tc>
          <w:tcPr>
            <w:tcW w:w="2678" w:type="dxa"/>
            <w:gridSpan w:val="4"/>
            <w:tcBorders>
              <w:top w:val="single" w:color="000000" w:sz="4" w:space="0"/>
              <w:left w:val="nil"/>
              <w:bottom w:val="nil"/>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通过</w:t>
            </w:r>
          </w:p>
        </w:tc>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559" w:hRule="atLeast"/>
        </w:trPr>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617" w:type="dxa"/>
            <w:gridSpan w:val="3"/>
            <w:vMerge w:val="continue"/>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jc w:val="left"/>
              <w:rPr>
                <w:rFonts w:hint="eastAsia" w:ascii="宋体" w:hAnsi="宋体" w:eastAsia="宋体" w:cs="宋体"/>
                <w:i w:val="0"/>
                <w:color w:val="auto"/>
                <w:sz w:val="18"/>
                <w:szCs w:val="18"/>
                <w:u w:val="none"/>
              </w:rPr>
            </w:pPr>
          </w:p>
        </w:tc>
        <w:tc>
          <w:tcPr>
            <w:tcW w:w="3643" w:type="dxa"/>
            <w:gridSpan w:val="5"/>
            <w:tcBorders>
              <w:top w:val="nil"/>
              <w:left w:val="nil"/>
              <w:bottom w:val="nil"/>
              <w:right w:val="single" w:color="000000" w:sz="4" w:space="0"/>
            </w:tcBorders>
            <w:shd w:val="clear" w:color="000000" w:fill="FFFFFF"/>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xml:space="preserve">申报单位：呼伦贝尔市自然资源局  </w:t>
            </w:r>
          </w:p>
        </w:tc>
        <w:tc>
          <w:tcPr>
            <w:tcW w:w="1416" w:type="dxa"/>
            <w:gridSpan w:val="4"/>
            <w:vMerge w:val="continue"/>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jc w:val="left"/>
              <w:rPr>
                <w:rFonts w:hint="eastAsia" w:ascii="宋体" w:hAnsi="宋体" w:eastAsia="宋体" w:cs="宋体"/>
                <w:i w:val="0"/>
                <w:color w:val="auto"/>
                <w:sz w:val="18"/>
                <w:szCs w:val="18"/>
                <w:u w:val="none"/>
              </w:rPr>
            </w:pPr>
          </w:p>
        </w:tc>
        <w:tc>
          <w:tcPr>
            <w:tcW w:w="2678" w:type="dxa"/>
            <w:gridSpan w:val="4"/>
            <w:tcBorders>
              <w:top w:val="nil"/>
              <w:left w:val="nil"/>
              <w:bottom w:val="nil"/>
              <w:right w:val="single" w:color="000000" w:sz="4" w:space="0"/>
            </w:tcBorders>
            <w:shd w:val="clear" w:color="000000" w:fill="FFFFFF"/>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xml:space="preserve">审核人：自然资源科  </w:t>
            </w:r>
          </w:p>
        </w:tc>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559" w:hRule="atLeast"/>
        </w:trPr>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617" w:type="dxa"/>
            <w:gridSpan w:val="3"/>
            <w:vMerge w:val="continue"/>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jc w:val="left"/>
              <w:rPr>
                <w:rFonts w:hint="eastAsia" w:ascii="宋体" w:hAnsi="宋体" w:eastAsia="宋体" w:cs="宋体"/>
                <w:i w:val="0"/>
                <w:color w:val="auto"/>
                <w:sz w:val="18"/>
                <w:szCs w:val="18"/>
                <w:u w:val="none"/>
              </w:rPr>
            </w:pPr>
          </w:p>
        </w:tc>
        <w:tc>
          <w:tcPr>
            <w:tcW w:w="3643" w:type="dxa"/>
            <w:gridSpan w:val="5"/>
            <w:tcBorders>
              <w:top w:val="nil"/>
              <w:left w:val="nil"/>
              <w:bottom w:val="single" w:color="000000" w:sz="4" w:space="0"/>
              <w:right w:val="single" w:color="000000" w:sz="4" w:space="0"/>
            </w:tcBorders>
            <w:shd w:val="clear" w:color="000000" w:fill="FFFFFF"/>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单位签章：                                      2020  年   4月   1日</w:t>
            </w:r>
          </w:p>
        </w:tc>
        <w:tc>
          <w:tcPr>
            <w:tcW w:w="1416" w:type="dxa"/>
            <w:gridSpan w:val="4"/>
            <w:vMerge w:val="continue"/>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jc w:val="left"/>
              <w:rPr>
                <w:rFonts w:hint="eastAsia" w:ascii="宋体" w:hAnsi="宋体" w:eastAsia="宋体" w:cs="宋体"/>
                <w:i w:val="0"/>
                <w:color w:val="auto"/>
                <w:sz w:val="18"/>
                <w:szCs w:val="18"/>
                <w:u w:val="none"/>
              </w:rPr>
            </w:pPr>
          </w:p>
        </w:tc>
        <w:tc>
          <w:tcPr>
            <w:tcW w:w="2678" w:type="dxa"/>
            <w:gridSpan w:val="4"/>
            <w:tcBorders>
              <w:top w:val="nil"/>
              <w:left w:val="nil"/>
              <w:bottom w:val="single" w:color="000000" w:sz="4" w:space="0"/>
              <w:right w:val="single" w:color="000000" w:sz="4" w:space="0"/>
            </w:tcBorders>
            <w:shd w:val="clear" w:color="000000" w:fill="FFFFFF"/>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科室签章：                                     2020  年   4月   1日</w:t>
            </w:r>
          </w:p>
        </w:tc>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1602" w:hRule="atLeast"/>
        </w:trPr>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617" w:type="dxa"/>
            <w:gridSpan w:val="3"/>
            <w:vMerge w:val="restart"/>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主管部门负责人</w:t>
            </w:r>
          </w:p>
        </w:tc>
        <w:tc>
          <w:tcPr>
            <w:tcW w:w="3643" w:type="dxa"/>
            <w:gridSpan w:val="5"/>
            <w:tcBorders>
              <w:top w:val="single" w:color="000000" w:sz="4" w:space="0"/>
              <w:left w:val="nil"/>
              <w:bottom w:val="nil"/>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1416" w:type="dxa"/>
            <w:gridSpan w:val="4"/>
            <w:vMerge w:val="restart"/>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财政绩效中心审核意见</w:t>
            </w:r>
          </w:p>
        </w:tc>
        <w:tc>
          <w:tcPr>
            <w:tcW w:w="2678" w:type="dxa"/>
            <w:gridSpan w:val="4"/>
            <w:tcBorders>
              <w:top w:val="single" w:color="000000" w:sz="4" w:space="0"/>
              <w:left w:val="nil"/>
              <w:bottom w:val="nil"/>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同意</w:t>
            </w:r>
          </w:p>
        </w:tc>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559" w:hRule="atLeast"/>
        </w:trPr>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617" w:type="dxa"/>
            <w:gridSpan w:val="3"/>
            <w:vMerge w:val="continue"/>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jc w:val="left"/>
              <w:rPr>
                <w:rFonts w:hint="eastAsia" w:ascii="宋体" w:hAnsi="宋体" w:eastAsia="宋体" w:cs="宋体"/>
                <w:i w:val="0"/>
                <w:color w:val="auto"/>
                <w:sz w:val="18"/>
                <w:szCs w:val="18"/>
                <w:u w:val="none"/>
              </w:rPr>
            </w:pPr>
          </w:p>
        </w:tc>
        <w:tc>
          <w:tcPr>
            <w:tcW w:w="3643" w:type="dxa"/>
            <w:gridSpan w:val="5"/>
            <w:tcBorders>
              <w:top w:val="nil"/>
              <w:left w:val="nil"/>
              <w:bottom w:val="nil"/>
              <w:right w:val="single" w:color="000000" w:sz="4" w:space="0"/>
            </w:tcBorders>
            <w:shd w:val="clear" w:color="000000" w:fill="FFFFFF"/>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xml:space="preserve">审核人：            </w:t>
            </w:r>
          </w:p>
        </w:tc>
        <w:tc>
          <w:tcPr>
            <w:tcW w:w="1416" w:type="dxa"/>
            <w:gridSpan w:val="4"/>
            <w:vMerge w:val="continue"/>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jc w:val="left"/>
              <w:rPr>
                <w:rFonts w:hint="eastAsia" w:ascii="宋体" w:hAnsi="宋体" w:eastAsia="宋体" w:cs="宋体"/>
                <w:i w:val="0"/>
                <w:color w:val="auto"/>
                <w:sz w:val="18"/>
                <w:szCs w:val="18"/>
                <w:u w:val="none"/>
              </w:rPr>
            </w:pPr>
          </w:p>
        </w:tc>
        <w:tc>
          <w:tcPr>
            <w:tcW w:w="2678" w:type="dxa"/>
            <w:gridSpan w:val="4"/>
            <w:tcBorders>
              <w:top w:val="nil"/>
              <w:left w:val="nil"/>
              <w:bottom w:val="nil"/>
              <w:right w:val="single" w:color="000000" w:sz="4" w:space="0"/>
            </w:tcBorders>
            <w:shd w:val="clear" w:color="000000" w:fill="FFFFFF"/>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xml:space="preserve">审核人：张秋萸  </w:t>
            </w:r>
          </w:p>
        </w:tc>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559" w:hRule="atLeast"/>
        </w:trPr>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617" w:type="dxa"/>
            <w:gridSpan w:val="3"/>
            <w:vMerge w:val="continue"/>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jc w:val="left"/>
              <w:rPr>
                <w:rFonts w:hint="eastAsia" w:ascii="宋体" w:hAnsi="宋体" w:eastAsia="宋体" w:cs="宋体"/>
                <w:i w:val="0"/>
                <w:color w:val="auto"/>
                <w:sz w:val="18"/>
                <w:szCs w:val="18"/>
                <w:u w:val="none"/>
              </w:rPr>
            </w:pPr>
          </w:p>
        </w:tc>
        <w:tc>
          <w:tcPr>
            <w:tcW w:w="3643" w:type="dxa"/>
            <w:gridSpan w:val="5"/>
            <w:tcBorders>
              <w:top w:val="nil"/>
              <w:left w:val="nil"/>
              <w:bottom w:val="single" w:color="000000" w:sz="4" w:space="0"/>
              <w:right w:val="single" w:color="000000" w:sz="4" w:space="0"/>
            </w:tcBorders>
            <w:shd w:val="clear" w:color="000000" w:fill="FFFFFF"/>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单位签章：                                      年   月   日</w:t>
            </w:r>
          </w:p>
        </w:tc>
        <w:tc>
          <w:tcPr>
            <w:tcW w:w="1416" w:type="dxa"/>
            <w:gridSpan w:val="4"/>
            <w:vMerge w:val="continue"/>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jc w:val="left"/>
              <w:rPr>
                <w:rFonts w:hint="eastAsia" w:ascii="宋体" w:hAnsi="宋体" w:eastAsia="宋体" w:cs="宋体"/>
                <w:i w:val="0"/>
                <w:color w:val="auto"/>
                <w:sz w:val="18"/>
                <w:szCs w:val="18"/>
                <w:u w:val="none"/>
              </w:rPr>
            </w:pPr>
          </w:p>
        </w:tc>
        <w:tc>
          <w:tcPr>
            <w:tcW w:w="2678" w:type="dxa"/>
            <w:gridSpan w:val="4"/>
            <w:tcBorders>
              <w:top w:val="nil"/>
              <w:left w:val="nil"/>
              <w:bottom w:val="single" w:color="000000" w:sz="4" w:space="0"/>
              <w:right w:val="single" w:color="000000" w:sz="4" w:space="0"/>
            </w:tcBorders>
            <w:shd w:val="clear" w:color="000000" w:fill="FFFFFF"/>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科室签章：                                     2020  年   4月   1日</w:t>
            </w:r>
          </w:p>
        </w:tc>
        <w:tc>
          <w:tcPr>
            <w:tcW w:w="240"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bl>
    <w:p>
      <w:pPr>
        <w:keepNext w:val="0"/>
        <w:keepLines w:val="0"/>
        <w:widowControl/>
        <w:suppressLineNumbers w:val="0"/>
        <w:adjustRightInd w:val="0"/>
        <w:snapToGrid w:val="0"/>
        <w:spacing w:before="0" w:beforeAutospacing="1" w:after="0" w:afterAutospacing="1" w:line="580" w:lineRule="exact"/>
        <w:ind w:right="0"/>
        <w:jc w:val="left"/>
        <w:rPr>
          <w:rFonts w:hint="eastAsia" w:ascii="仿宋_GB2312" w:hAnsi="Times New Roman" w:eastAsia="仿宋_GB2312" w:cs="仿宋_GB2312"/>
          <w:color w:val="auto"/>
          <w:kern w:val="0"/>
          <w:sz w:val="32"/>
          <w:szCs w:val="32"/>
          <w:lang w:val="en-US" w:eastAsia="zh-CN" w:bidi="ar"/>
        </w:rPr>
      </w:pPr>
    </w:p>
    <w:p>
      <w:pPr>
        <w:keepNext w:val="0"/>
        <w:keepLines w:val="0"/>
        <w:widowControl/>
        <w:suppressLineNumbers w:val="0"/>
        <w:adjustRightInd w:val="0"/>
        <w:snapToGrid w:val="0"/>
        <w:spacing w:before="0" w:beforeAutospacing="1" w:after="0" w:afterAutospacing="1" w:line="580" w:lineRule="exact"/>
        <w:ind w:right="0"/>
        <w:jc w:val="left"/>
        <w:rPr>
          <w:rFonts w:hint="default" w:ascii="仿宋_GB2312" w:hAnsi="Times New Roman" w:eastAsia="仿宋_GB2312" w:cs="仿宋_GB2312"/>
          <w:color w:val="auto"/>
          <w:kern w:val="0"/>
          <w:sz w:val="32"/>
          <w:szCs w:val="32"/>
          <w:lang w:val="en-US" w:eastAsia="zh-CN" w:bidi="ar"/>
        </w:rPr>
      </w:pPr>
      <w:r>
        <w:rPr>
          <w:rFonts w:hint="eastAsia" w:ascii="仿宋_GB2312" w:hAnsi="Times New Roman" w:eastAsia="仿宋_GB2312" w:cs="仿宋_GB2312"/>
          <w:color w:val="auto"/>
          <w:kern w:val="0"/>
          <w:sz w:val="32"/>
          <w:szCs w:val="32"/>
          <w:lang w:val="en-US" w:eastAsia="zh-CN" w:bidi="ar"/>
        </w:rPr>
        <w:t>按照市政府的工作安排，我市与2018年1月启动《呼伦贝尔市中心城区海拉尔区老城区控制性详细规划及城市设计》2019-2021规划的编制工作，2018年底完成控规单元的初步成果，目前，该项目已完成阶段性方案，并向海拉尔区主要领导做汇报，规划正在按照修改意见完善</w:t>
      </w:r>
      <w:r>
        <w:rPr>
          <w:rFonts w:hint="default" w:ascii="仿宋_GB2312" w:hAnsi="Times New Roman" w:eastAsia="仿宋_GB2312" w:cs="仿宋_GB2312"/>
          <w:color w:val="auto"/>
          <w:kern w:val="0"/>
          <w:sz w:val="32"/>
          <w:szCs w:val="32"/>
          <w:lang w:val="en-US" w:eastAsia="zh-CN" w:bidi="ar"/>
        </w:rPr>
        <w:t>。</w:t>
      </w:r>
    </w:p>
    <w:p>
      <w:pPr>
        <w:keepNext w:val="0"/>
        <w:keepLines w:val="0"/>
        <w:widowControl/>
        <w:suppressLineNumbers w:val="0"/>
        <w:adjustRightInd w:val="0"/>
        <w:snapToGrid w:val="0"/>
        <w:spacing w:before="0" w:beforeAutospacing="1" w:after="0" w:afterAutospacing="1" w:line="580" w:lineRule="exact"/>
        <w:ind w:right="0"/>
        <w:jc w:val="left"/>
        <w:rPr>
          <w:rFonts w:hint="default" w:ascii="仿宋_GB2312" w:hAnsi="Times New Roman" w:eastAsia="仿宋_GB2312" w:cs="仿宋_GB2312"/>
          <w:color w:val="auto"/>
          <w:kern w:val="0"/>
          <w:sz w:val="32"/>
          <w:szCs w:val="32"/>
          <w:lang w:val="en-US" w:eastAsia="zh-CN" w:bidi="ar"/>
        </w:rPr>
      </w:pPr>
    </w:p>
    <w:p>
      <w:pPr>
        <w:keepNext w:val="0"/>
        <w:keepLines w:val="0"/>
        <w:widowControl/>
        <w:suppressLineNumbers w:val="0"/>
        <w:adjustRightInd w:val="0"/>
        <w:snapToGrid w:val="0"/>
        <w:spacing w:before="0" w:beforeAutospacing="1" w:after="0" w:afterAutospacing="1" w:line="580" w:lineRule="exact"/>
        <w:ind w:right="0"/>
        <w:jc w:val="left"/>
        <w:rPr>
          <w:rFonts w:hint="default" w:ascii="仿宋_GB2312" w:hAnsi="Times New Roman" w:eastAsia="仿宋_GB2312" w:cs="仿宋_GB2312"/>
          <w:color w:val="auto"/>
          <w:kern w:val="0"/>
          <w:sz w:val="32"/>
          <w:szCs w:val="32"/>
          <w:lang w:val="en-US" w:eastAsia="zh-CN" w:bidi="ar"/>
        </w:rPr>
      </w:pPr>
    </w:p>
    <w:tbl>
      <w:tblPr>
        <w:tblStyle w:val="4"/>
        <w:tblW w:w="12080" w:type="dxa"/>
        <w:tblInd w:w="0" w:type="dxa"/>
        <w:shd w:val="clear" w:color="auto" w:fill="auto"/>
        <w:tblLayout w:type="fixed"/>
        <w:tblCellMar>
          <w:top w:w="0" w:type="dxa"/>
          <w:left w:w="0" w:type="dxa"/>
          <w:bottom w:w="0" w:type="dxa"/>
          <w:right w:w="0" w:type="dxa"/>
        </w:tblCellMar>
      </w:tblPr>
      <w:tblGrid>
        <w:gridCol w:w="410"/>
        <w:gridCol w:w="411"/>
        <w:gridCol w:w="411"/>
        <w:gridCol w:w="810"/>
        <w:gridCol w:w="1420"/>
        <w:gridCol w:w="542"/>
        <w:gridCol w:w="542"/>
        <w:gridCol w:w="660"/>
        <w:gridCol w:w="477"/>
        <w:gridCol w:w="141"/>
        <w:gridCol w:w="730"/>
        <w:gridCol w:w="85"/>
        <w:gridCol w:w="892"/>
        <w:gridCol w:w="848"/>
        <w:gridCol w:w="660"/>
        <w:gridCol w:w="419"/>
        <w:gridCol w:w="2622"/>
      </w:tblGrid>
      <w:tr>
        <w:tblPrEx>
          <w:shd w:val="clear" w:color="auto" w:fill="auto"/>
          <w:tblCellMar>
            <w:top w:w="0" w:type="dxa"/>
            <w:left w:w="0" w:type="dxa"/>
            <w:bottom w:w="0" w:type="dxa"/>
            <w:right w:w="0" w:type="dxa"/>
          </w:tblCellMar>
        </w:tblPrEx>
        <w:trPr>
          <w:trHeight w:val="405" w:hRule="atLeast"/>
        </w:trPr>
        <w:tc>
          <w:tcPr>
            <w:tcW w:w="9458" w:type="dxa"/>
            <w:gridSpan w:val="16"/>
            <w:tcBorders>
              <w:top w:val="nil"/>
              <w:left w:val="nil"/>
              <w:bottom w:val="nil"/>
              <w:right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monospace" w:hAnsi="monospace" w:eastAsia="monospace" w:cs="monospace"/>
                <w:b/>
                <w:i w:val="0"/>
                <w:color w:val="auto"/>
                <w:sz w:val="32"/>
                <w:szCs w:val="32"/>
                <w:u w:val="none"/>
              </w:rPr>
            </w:pPr>
            <w:r>
              <w:rPr>
                <w:rFonts w:hint="default" w:ascii="monospace" w:hAnsi="monospace" w:eastAsia="monospace" w:cs="monospace"/>
                <w:b/>
                <w:i w:val="0"/>
                <w:color w:val="auto"/>
                <w:kern w:val="0"/>
                <w:sz w:val="32"/>
                <w:szCs w:val="32"/>
                <w:u w:val="none"/>
                <w:lang w:val="en-US" w:eastAsia="zh-CN" w:bidi="ar"/>
              </w:rPr>
              <w:t>2019年财政资金绩效评价自评信息表</w:t>
            </w:r>
          </w:p>
        </w:tc>
        <w:tc>
          <w:tcPr>
            <w:tcW w:w="2622" w:type="dxa"/>
            <w:tcBorders>
              <w:top w:val="nil"/>
              <w:left w:val="nil"/>
              <w:bottom w:val="nil"/>
              <w:right w:val="nil"/>
            </w:tcBorders>
            <w:shd w:val="clear" w:color="auto" w:fill="auto"/>
            <w:tcMar>
              <w:top w:w="15" w:type="dxa"/>
              <w:left w:w="15" w:type="dxa"/>
              <w:right w:w="15" w:type="dxa"/>
            </w:tcMar>
            <w:vAlign w:val="center"/>
          </w:tcPr>
          <w:p>
            <w:pPr>
              <w:rPr>
                <w:rFonts w:hint="default" w:ascii="monospace" w:hAnsi="monospace" w:eastAsia="monospace" w:cs="monospace"/>
                <w:b/>
                <w:i w:val="0"/>
                <w:color w:val="auto"/>
                <w:sz w:val="32"/>
                <w:szCs w:val="32"/>
                <w:u w:val="none"/>
              </w:rPr>
            </w:pPr>
          </w:p>
        </w:tc>
      </w:tr>
      <w:tr>
        <w:tblPrEx>
          <w:shd w:val="clear" w:color="auto" w:fill="auto"/>
          <w:tblCellMar>
            <w:top w:w="0" w:type="dxa"/>
            <w:left w:w="0" w:type="dxa"/>
            <w:bottom w:w="0" w:type="dxa"/>
            <w:right w:w="0" w:type="dxa"/>
          </w:tblCellMar>
        </w:tblPrEx>
        <w:trPr>
          <w:trHeight w:val="207" w:hRule="atLeast"/>
        </w:trPr>
        <w:tc>
          <w:tcPr>
            <w:tcW w:w="12080" w:type="dxa"/>
            <w:gridSpan w:val="17"/>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285" w:hRule="atLeast"/>
        </w:trPr>
        <w:tc>
          <w:tcPr>
            <w:tcW w:w="9458" w:type="dxa"/>
            <w:gridSpan w:val="16"/>
            <w:tcBorders>
              <w:top w:val="nil"/>
              <w:left w:val="nil"/>
              <w:bottom w:val="nil"/>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编制单位：呼伦贝尔市自然资源局</w:t>
            </w:r>
          </w:p>
        </w:tc>
        <w:tc>
          <w:tcPr>
            <w:tcW w:w="2622" w:type="dxa"/>
            <w:tcBorders>
              <w:top w:val="nil"/>
              <w:left w:val="nil"/>
              <w:bottom w:val="nil"/>
              <w:right w:val="nil"/>
            </w:tcBorders>
            <w:shd w:val="clear" w:color="auto" w:fill="auto"/>
            <w:tcMar>
              <w:top w:w="15" w:type="dxa"/>
              <w:left w:w="15" w:type="dxa"/>
              <w:right w:w="15" w:type="dxa"/>
            </w:tcMar>
            <w:vAlign w:val="center"/>
          </w:tcPr>
          <w:p>
            <w:pPr>
              <w:rPr>
                <w:rFonts w:hint="eastAsia" w:ascii="宋体" w:hAnsi="宋体" w:eastAsia="宋体" w:cs="宋体"/>
                <w:i w:val="0"/>
                <w:color w:val="auto"/>
                <w:sz w:val="18"/>
                <w:szCs w:val="18"/>
                <w:u w:val="none"/>
              </w:rPr>
            </w:pPr>
          </w:p>
        </w:tc>
      </w:tr>
      <w:tr>
        <w:tblPrEx>
          <w:shd w:val="clear" w:color="auto" w:fill="auto"/>
          <w:tblCellMar>
            <w:top w:w="0" w:type="dxa"/>
            <w:left w:w="0" w:type="dxa"/>
            <w:bottom w:w="0" w:type="dxa"/>
            <w:right w:w="0" w:type="dxa"/>
          </w:tblCellMar>
        </w:tblPrEx>
        <w:trPr>
          <w:trHeight w:val="409" w:hRule="atLeast"/>
        </w:trPr>
        <w:tc>
          <w:tcPr>
            <w:tcW w:w="9458" w:type="dxa"/>
            <w:gridSpan w:val="16"/>
            <w:tcBorders>
              <w:top w:val="nil"/>
              <w:left w:val="nil"/>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18"/>
                <w:szCs w:val="18"/>
                <w:u w:val="none"/>
              </w:rPr>
            </w:pPr>
            <w:r>
              <w:rPr>
                <w:rFonts w:hint="eastAsia" w:ascii="宋体" w:hAnsi="宋体" w:eastAsia="宋体" w:cs="宋体"/>
                <w:b/>
                <w:i w:val="0"/>
                <w:color w:val="auto"/>
                <w:kern w:val="0"/>
                <w:sz w:val="18"/>
                <w:szCs w:val="18"/>
                <w:u w:val="none"/>
                <w:lang w:val="en-US" w:eastAsia="zh-CN" w:bidi="ar"/>
              </w:rPr>
              <w:t>一、项目基本情况</w:t>
            </w:r>
          </w:p>
        </w:tc>
        <w:tc>
          <w:tcPr>
            <w:tcW w:w="2622"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285" w:hRule="atLeast"/>
        </w:trPr>
        <w:tc>
          <w:tcPr>
            <w:tcW w:w="1232"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项目名称</w:t>
            </w:r>
          </w:p>
        </w:tc>
        <w:tc>
          <w:tcPr>
            <w:tcW w:w="8226" w:type="dxa"/>
            <w:gridSpan w:val="1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呼伦贝尔市中心城区海拉尔区老城区控制性详细规划及城市设计</w:t>
            </w:r>
          </w:p>
        </w:tc>
        <w:tc>
          <w:tcPr>
            <w:tcW w:w="2622"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285" w:hRule="atLeast"/>
        </w:trPr>
        <w:tc>
          <w:tcPr>
            <w:tcW w:w="1232"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项目负责人</w:t>
            </w:r>
          </w:p>
        </w:tc>
        <w:tc>
          <w:tcPr>
            <w:tcW w:w="4592" w:type="dxa"/>
            <w:gridSpan w:val="7"/>
            <w:tcBorders>
              <w:top w:val="single" w:color="000000" w:sz="4" w:space="0"/>
              <w:left w:val="nil"/>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张文春</w:t>
            </w:r>
          </w:p>
        </w:tc>
        <w:tc>
          <w:tcPr>
            <w:tcW w:w="1707"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联系电话</w:t>
            </w:r>
          </w:p>
        </w:tc>
        <w:tc>
          <w:tcPr>
            <w:tcW w:w="1927"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8296060</w:t>
            </w:r>
          </w:p>
        </w:tc>
        <w:tc>
          <w:tcPr>
            <w:tcW w:w="2622"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285" w:hRule="atLeast"/>
        </w:trPr>
        <w:tc>
          <w:tcPr>
            <w:tcW w:w="1232" w:type="dxa"/>
            <w:gridSpan w:val="3"/>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单位财务</w:t>
            </w:r>
          </w:p>
        </w:tc>
        <w:tc>
          <w:tcPr>
            <w:tcW w:w="4592" w:type="dxa"/>
            <w:gridSpan w:val="7"/>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柴桂君</w:t>
            </w:r>
          </w:p>
        </w:tc>
        <w:tc>
          <w:tcPr>
            <w:tcW w:w="1707" w:type="dxa"/>
            <w:gridSpan w:val="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财务联系电话</w:t>
            </w:r>
          </w:p>
        </w:tc>
        <w:tc>
          <w:tcPr>
            <w:tcW w:w="1927" w:type="dxa"/>
            <w:gridSpan w:val="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8296060</w:t>
            </w:r>
          </w:p>
        </w:tc>
        <w:tc>
          <w:tcPr>
            <w:tcW w:w="2622" w:type="dxa"/>
            <w:tcBorders>
              <w:top w:val="nil"/>
              <w:left w:val="nil"/>
              <w:bottom w:val="nil"/>
              <w:right w:val="nil"/>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　</w:t>
            </w:r>
          </w:p>
        </w:tc>
      </w:tr>
      <w:tr>
        <w:tblPrEx>
          <w:shd w:val="clear" w:color="auto" w:fill="auto"/>
          <w:tblCellMar>
            <w:top w:w="0" w:type="dxa"/>
            <w:left w:w="0" w:type="dxa"/>
            <w:bottom w:w="0" w:type="dxa"/>
            <w:right w:w="0" w:type="dxa"/>
          </w:tblCellMar>
        </w:tblPrEx>
        <w:trPr>
          <w:trHeight w:val="735" w:hRule="atLeast"/>
        </w:trPr>
        <w:tc>
          <w:tcPr>
            <w:tcW w:w="1232"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项目类别</w:t>
            </w:r>
          </w:p>
        </w:tc>
        <w:tc>
          <w:tcPr>
            <w:tcW w:w="8226" w:type="dxa"/>
            <w:gridSpan w:val="1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商品和服务支出</w:t>
            </w:r>
          </w:p>
        </w:tc>
        <w:tc>
          <w:tcPr>
            <w:tcW w:w="2622"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285" w:hRule="atLeast"/>
        </w:trPr>
        <w:tc>
          <w:tcPr>
            <w:tcW w:w="1232"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项目类型</w:t>
            </w:r>
          </w:p>
        </w:tc>
        <w:tc>
          <w:tcPr>
            <w:tcW w:w="4592" w:type="dxa"/>
            <w:gridSpan w:val="7"/>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延续项目</w:t>
            </w:r>
          </w:p>
        </w:tc>
        <w:tc>
          <w:tcPr>
            <w:tcW w:w="1707"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项目口径</w:t>
            </w:r>
          </w:p>
        </w:tc>
        <w:tc>
          <w:tcPr>
            <w:tcW w:w="1927" w:type="dxa"/>
            <w:gridSpan w:val="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阶段性</w:t>
            </w:r>
          </w:p>
        </w:tc>
        <w:tc>
          <w:tcPr>
            <w:tcW w:w="2622"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285" w:hRule="atLeast"/>
        </w:trPr>
        <w:tc>
          <w:tcPr>
            <w:tcW w:w="1232" w:type="dxa"/>
            <w:gridSpan w:val="3"/>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项目依据</w:t>
            </w:r>
          </w:p>
        </w:tc>
        <w:tc>
          <w:tcPr>
            <w:tcW w:w="8226" w:type="dxa"/>
            <w:gridSpan w:val="1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法律法规规定应安排的项目</w:t>
            </w:r>
          </w:p>
        </w:tc>
        <w:tc>
          <w:tcPr>
            <w:tcW w:w="2622" w:type="dxa"/>
            <w:tcBorders>
              <w:top w:val="nil"/>
              <w:left w:val="nil"/>
              <w:bottom w:val="nil"/>
              <w:right w:val="nil"/>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　</w:t>
            </w:r>
          </w:p>
        </w:tc>
      </w:tr>
      <w:tr>
        <w:tblPrEx>
          <w:shd w:val="clear" w:color="auto" w:fill="auto"/>
          <w:tblCellMar>
            <w:top w:w="0" w:type="dxa"/>
            <w:left w:w="0" w:type="dxa"/>
            <w:bottom w:w="0" w:type="dxa"/>
            <w:right w:w="0" w:type="dxa"/>
          </w:tblCellMar>
        </w:tblPrEx>
        <w:trPr>
          <w:trHeight w:val="285" w:hRule="atLeast"/>
        </w:trPr>
        <w:tc>
          <w:tcPr>
            <w:tcW w:w="1232" w:type="dxa"/>
            <w:gridSpan w:val="3"/>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项目属性</w:t>
            </w:r>
          </w:p>
        </w:tc>
        <w:tc>
          <w:tcPr>
            <w:tcW w:w="8226" w:type="dxa"/>
            <w:gridSpan w:val="1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专项资金</w:t>
            </w:r>
          </w:p>
        </w:tc>
        <w:tc>
          <w:tcPr>
            <w:tcW w:w="2622" w:type="dxa"/>
            <w:tcBorders>
              <w:top w:val="nil"/>
              <w:left w:val="nil"/>
              <w:bottom w:val="nil"/>
              <w:right w:val="nil"/>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　</w:t>
            </w:r>
          </w:p>
        </w:tc>
      </w:tr>
      <w:tr>
        <w:tblPrEx>
          <w:shd w:val="clear" w:color="auto" w:fill="auto"/>
          <w:tblCellMar>
            <w:top w:w="0" w:type="dxa"/>
            <w:left w:w="0" w:type="dxa"/>
            <w:bottom w:w="0" w:type="dxa"/>
            <w:right w:w="0" w:type="dxa"/>
          </w:tblCellMar>
        </w:tblPrEx>
        <w:trPr>
          <w:trHeight w:val="780" w:hRule="atLeast"/>
        </w:trPr>
        <w:tc>
          <w:tcPr>
            <w:tcW w:w="1232"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项目计划实施时间</w:t>
            </w:r>
          </w:p>
        </w:tc>
        <w:tc>
          <w:tcPr>
            <w:tcW w:w="8226" w:type="dxa"/>
            <w:gridSpan w:val="13"/>
            <w:tcBorders>
              <w:top w:val="single" w:color="000000" w:sz="4" w:space="0"/>
              <w:left w:val="nil"/>
              <w:bottom w:val="nil"/>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xml:space="preserve"> 至 </w:t>
            </w:r>
          </w:p>
        </w:tc>
        <w:tc>
          <w:tcPr>
            <w:tcW w:w="2622"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720" w:hRule="atLeast"/>
        </w:trPr>
        <w:tc>
          <w:tcPr>
            <w:tcW w:w="1232"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项目实际实施时间</w:t>
            </w:r>
          </w:p>
        </w:tc>
        <w:tc>
          <w:tcPr>
            <w:tcW w:w="8226" w:type="dxa"/>
            <w:gridSpan w:val="13"/>
            <w:tcBorders>
              <w:top w:val="single" w:color="000000" w:sz="4" w:space="0"/>
              <w:left w:val="nil"/>
              <w:bottom w:val="nil"/>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xml:space="preserve"> 2019-01-01至 2019-12-31</w:t>
            </w:r>
          </w:p>
        </w:tc>
        <w:tc>
          <w:tcPr>
            <w:tcW w:w="2622"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615" w:hRule="atLeast"/>
        </w:trPr>
        <w:tc>
          <w:tcPr>
            <w:tcW w:w="1232"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项目自评价时间</w:t>
            </w:r>
          </w:p>
        </w:tc>
        <w:tc>
          <w:tcPr>
            <w:tcW w:w="8226" w:type="dxa"/>
            <w:gridSpan w:val="13"/>
            <w:tcBorders>
              <w:top w:val="single" w:color="000000" w:sz="4" w:space="0"/>
              <w:left w:val="nil"/>
              <w:bottom w:val="nil"/>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xml:space="preserve"> 2020-03-18至 2020-03-23</w:t>
            </w:r>
          </w:p>
        </w:tc>
        <w:tc>
          <w:tcPr>
            <w:tcW w:w="2622"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1755" w:hRule="atLeast"/>
        </w:trPr>
        <w:tc>
          <w:tcPr>
            <w:tcW w:w="1232"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项目申请原因（包括设立依据、可行性及必要性）</w:t>
            </w:r>
          </w:p>
        </w:tc>
        <w:tc>
          <w:tcPr>
            <w:tcW w:w="8226" w:type="dxa"/>
            <w:gridSpan w:val="1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中华人民共和国城乡规划法》第六条“各级人民政府应当将城乡规划的编制和管理经费纳入本级财政预算”和第十九条“城市人民政府城乡规划主管部门根据城市总体规划的要求，组织编制城市的控制性详细规划，经本级人民政府批准后，报本级人民代表大会常务委员会和上一级人民政府备案”的规定， 2、按照中央城市工作会议的会议精神和《中共中央国务院关于进一步加强城市规划建设管理工作的若干意见》（中发【2016】6号）文件“控制性详细规划是规划实施的基础，未编制控制性详细规划的区域，不得进行建设”的要求。 3、呼伦贝尔市财政投资评审中心《关于市规划局申请&lt;呼伦贝尔市中心城区“城市双修”总体统筹与行动规划&gt;编制经费审核报告》 4、呼伦贝尔市财政局《关于市规划局申请急需落实2018年规划编制经费的意见》</w:t>
            </w:r>
          </w:p>
        </w:tc>
        <w:tc>
          <w:tcPr>
            <w:tcW w:w="2622"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1440" w:hRule="atLeast"/>
        </w:trPr>
        <w:tc>
          <w:tcPr>
            <w:tcW w:w="1232" w:type="dxa"/>
            <w:gridSpan w:val="3"/>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项目内容</w:t>
            </w:r>
          </w:p>
        </w:tc>
        <w:tc>
          <w:tcPr>
            <w:tcW w:w="8226" w:type="dxa"/>
            <w:gridSpan w:val="1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中标价格1950万元，2018年已安排200万元，按照5:3:2比例，2019年应安排1360万元。</w:t>
            </w:r>
          </w:p>
        </w:tc>
        <w:tc>
          <w:tcPr>
            <w:tcW w:w="2622" w:type="dxa"/>
            <w:tcBorders>
              <w:top w:val="nil"/>
              <w:left w:val="nil"/>
              <w:bottom w:val="nil"/>
              <w:right w:val="nil"/>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　</w:t>
            </w:r>
          </w:p>
        </w:tc>
      </w:tr>
      <w:tr>
        <w:tblPrEx>
          <w:shd w:val="clear" w:color="auto" w:fill="auto"/>
          <w:tblCellMar>
            <w:top w:w="0" w:type="dxa"/>
            <w:left w:w="0" w:type="dxa"/>
            <w:bottom w:w="0" w:type="dxa"/>
            <w:right w:w="0" w:type="dxa"/>
          </w:tblCellMar>
        </w:tblPrEx>
        <w:trPr>
          <w:trHeight w:val="1440" w:hRule="atLeast"/>
        </w:trPr>
        <w:tc>
          <w:tcPr>
            <w:tcW w:w="1232" w:type="dxa"/>
            <w:gridSpan w:val="3"/>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项目概况</w:t>
            </w:r>
          </w:p>
        </w:tc>
        <w:tc>
          <w:tcPr>
            <w:tcW w:w="8226" w:type="dxa"/>
            <w:gridSpan w:val="1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中标价格1950万元，2018年已安排200万元，按照5:3:2比例，2019年应安排1360万元。</w:t>
            </w:r>
          </w:p>
        </w:tc>
        <w:tc>
          <w:tcPr>
            <w:tcW w:w="2622" w:type="dxa"/>
            <w:tcBorders>
              <w:top w:val="nil"/>
              <w:left w:val="nil"/>
              <w:bottom w:val="nil"/>
              <w:right w:val="nil"/>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　</w:t>
            </w:r>
          </w:p>
        </w:tc>
      </w:tr>
      <w:tr>
        <w:tblPrEx>
          <w:shd w:val="clear" w:color="auto" w:fill="auto"/>
          <w:tblCellMar>
            <w:top w:w="0" w:type="dxa"/>
            <w:left w:w="0" w:type="dxa"/>
            <w:bottom w:w="0" w:type="dxa"/>
            <w:right w:w="0" w:type="dxa"/>
          </w:tblCellMar>
        </w:tblPrEx>
        <w:trPr>
          <w:trHeight w:val="1440" w:hRule="atLeast"/>
        </w:trPr>
        <w:tc>
          <w:tcPr>
            <w:tcW w:w="410" w:type="dxa"/>
            <w:vMerge w:val="restart"/>
            <w:tcBorders>
              <w:top w:val="nil"/>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项目绩效目标</w:t>
            </w:r>
          </w:p>
        </w:tc>
        <w:tc>
          <w:tcPr>
            <w:tcW w:w="822"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总目标完成情况</w:t>
            </w:r>
          </w:p>
        </w:tc>
        <w:tc>
          <w:tcPr>
            <w:tcW w:w="8226" w:type="dxa"/>
            <w:gridSpan w:val="1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完成《呼伦贝尔市中心城区海拉尔区老城区控制性详细规划及城市设计）》最终成果。</w:t>
            </w:r>
          </w:p>
        </w:tc>
        <w:tc>
          <w:tcPr>
            <w:tcW w:w="2622" w:type="dxa"/>
            <w:tcBorders>
              <w:top w:val="nil"/>
              <w:left w:val="nil"/>
              <w:bottom w:val="nil"/>
              <w:right w:val="nil"/>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　</w:t>
            </w:r>
          </w:p>
        </w:tc>
      </w:tr>
      <w:tr>
        <w:tblPrEx>
          <w:shd w:val="clear" w:color="auto" w:fill="auto"/>
          <w:tblCellMar>
            <w:top w:w="0" w:type="dxa"/>
            <w:left w:w="0" w:type="dxa"/>
            <w:bottom w:w="0" w:type="dxa"/>
            <w:right w:w="0" w:type="dxa"/>
          </w:tblCellMar>
        </w:tblPrEx>
        <w:trPr>
          <w:trHeight w:val="1440" w:hRule="atLeast"/>
        </w:trPr>
        <w:tc>
          <w:tcPr>
            <w:tcW w:w="410" w:type="dxa"/>
            <w:vMerge w:val="continue"/>
            <w:tcBorders>
              <w:top w:val="nil"/>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822"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阶段性目标完成情况</w:t>
            </w:r>
          </w:p>
        </w:tc>
        <w:tc>
          <w:tcPr>
            <w:tcW w:w="8226" w:type="dxa"/>
            <w:gridSpan w:val="1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完成《呼伦贝尔市中心城区海拉尔区老城区控制性详细规划及城市设计）》最终成果。</w:t>
            </w:r>
          </w:p>
        </w:tc>
        <w:tc>
          <w:tcPr>
            <w:tcW w:w="2622" w:type="dxa"/>
            <w:tcBorders>
              <w:top w:val="nil"/>
              <w:left w:val="nil"/>
              <w:bottom w:val="nil"/>
              <w:right w:val="nil"/>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　</w:t>
            </w:r>
          </w:p>
        </w:tc>
      </w:tr>
      <w:tr>
        <w:tblPrEx>
          <w:shd w:val="clear" w:color="auto" w:fill="auto"/>
          <w:tblCellMar>
            <w:top w:w="0" w:type="dxa"/>
            <w:left w:w="0" w:type="dxa"/>
            <w:bottom w:w="0" w:type="dxa"/>
            <w:right w:w="0" w:type="dxa"/>
          </w:tblCellMar>
        </w:tblPrEx>
        <w:trPr>
          <w:trHeight w:val="1440" w:hRule="atLeast"/>
        </w:trPr>
        <w:tc>
          <w:tcPr>
            <w:tcW w:w="410" w:type="dxa"/>
            <w:vMerge w:val="restart"/>
            <w:tcBorders>
              <w:top w:val="nil"/>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阶段性目标完成情况</w:t>
            </w:r>
          </w:p>
        </w:tc>
        <w:tc>
          <w:tcPr>
            <w:tcW w:w="822"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前期准备</w:t>
            </w:r>
          </w:p>
        </w:tc>
        <w:tc>
          <w:tcPr>
            <w:tcW w:w="8226" w:type="dxa"/>
            <w:gridSpan w:val="1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邀请专家评审《呼伦贝尔市中心城区海拉尔区老城区控制性详细规划及城市设计）》最终成果。</w:t>
            </w:r>
          </w:p>
        </w:tc>
        <w:tc>
          <w:tcPr>
            <w:tcW w:w="2622" w:type="dxa"/>
            <w:tcBorders>
              <w:top w:val="nil"/>
              <w:left w:val="nil"/>
              <w:bottom w:val="nil"/>
              <w:right w:val="nil"/>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　</w:t>
            </w:r>
          </w:p>
        </w:tc>
      </w:tr>
      <w:tr>
        <w:tblPrEx>
          <w:shd w:val="clear" w:color="auto" w:fill="auto"/>
          <w:tblCellMar>
            <w:top w:w="0" w:type="dxa"/>
            <w:left w:w="0" w:type="dxa"/>
            <w:bottom w:w="0" w:type="dxa"/>
            <w:right w:w="0" w:type="dxa"/>
          </w:tblCellMar>
        </w:tblPrEx>
        <w:trPr>
          <w:trHeight w:val="1440" w:hRule="atLeast"/>
        </w:trPr>
        <w:tc>
          <w:tcPr>
            <w:tcW w:w="410" w:type="dxa"/>
            <w:vMerge w:val="continue"/>
            <w:tcBorders>
              <w:top w:val="nil"/>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822"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组织实施</w:t>
            </w:r>
          </w:p>
        </w:tc>
        <w:tc>
          <w:tcPr>
            <w:tcW w:w="8226" w:type="dxa"/>
            <w:gridSpan w:val="1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组织专家评审《呼伦贝尔市中心城区海拉尔区老城区控制性详细规划及城市设计）》最终成果。</w:t>
            </w:r>
          </w:p>
        </w:tc>
        <w:tc>
          <w:tcPr>
            <w:tcW w:w="2622" w:type="dxa"/>
            <w:tcBorders>
              <w:top w:val="nil"/>
              <w:left w:val="nil"/>
              <w:bottom w:val="nil"/>
              <w:right w:val="nil"/>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　</w:t>
            </w:r>
          </w:p>
        </w:tc>
      </w:tr>
      <w:tr>
        <w:tblPrEx>
          <w:shd w:val="clear" w:color="auto" w:fill="auto"/>
          <w:tblCellMar>
            <w:top w:w="0" w:type="dxa"/>
            <w:left w:w="0" w:type="dxa"/>
            <w:bottom w:w="0" w:type="dxa"/>
            <w:right w:w="0" w:type="dxa"/>
          </w:tblCellMar>
        </w:tblPrEx>
        <w:trPr>
          <w:trHeight w:val="1440" w:hRule="atLeast"/>
        </w:trPr>
        <w:tc>
          <w:tcPr>
            <w:tcW w:w="410" w:type="dxa"/>
            <w:vMerge w:val="continue"/>
            <w:tcBorders>
              <w:top w:val="nil"/>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822"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分析评价</w:t>
            </w:r>
          </w:p>
        </w:tc>
        <w:tc>
          <w:tcPr>
            <w:tcW w:w="8226" w:type="dxa"/>
            <w:gridSpan w:val="1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按照要求完成《呼伦贝尔市中心城区海拉尔区老城区控制性详细规划及城市设计）》最终成果。</w:t>
            </w:r>
          </w:p>
        </w:tc>
        <w:tc>
          <w:tcPr>
            <w:tcW w:w="2622" w:type="dxa"/>
            <w:tcBorders>
              <w:top w:val="nil"/>
              <w:left w:val="nil"/>
              <w:bottom w:val="nil"/>
              <w:right w:val="nil"/>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　</w:t>
            </w:r>
          </w:p>
        </w:tc>
      </w:tr>
      <w:tr>
        <w:tblPrEx>
          <w:shd w:val="clear" w:color="auto" w:fill="auto"/>
          <w:tblCellMar>
            <w:top w:w="0" w:type="dxa"/>
            <w:left w:w="0" w:type="dxa"/>
            <w:bottom w:w="0" w:type="dxa"/>
            <w:right w:w="0" w:type="dxa"/>
          </w:tblCellMar>
        </w:tblPrEx>
        <w:trPr>
          <w:trHeight w:val="600" w:hRule="atLeast"/>
        </w:trPr>
        <w:tc>
          <w:tcPr>
            <w:tcW w:w="9458" w:type="dxa"/>
            <w:gridSpan w:val="1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18"/>
                <w:szCs w:val="18"/>
                <w:u w:val="none"/>
              </w:rPr>
            </w:pPr>
            <w:r>
              <w:rPr>
                <w:rFonts w:hint="eastAsia" w:ascii="宋体" w:hAnsi="宋体" w:eastAsia="宋体" w:cs="宋体"/>
                <w:b/>
                <w:i w:val="0"/>
                <w:color w:val="auto"/>
                <w:kern w:val="0"/>
                <w:sz w:val="18"/>
                <w:szCs w:val="18"/>
                <w:u w:val="none"/>
                <w:lang w:val="en-US" w:eastAsia="zh-CN" w:bidi="ar"/>
              </w:rPr>
              <w:t>二、项目资金情况</w:t>
            </w:r>
          </w:p>
        </w:tc>
        <w:tc>
          <w:tcPr>
            <w:tcW w:w="2622"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439" w:hRule="atLeast"/>
        </w:trPr>
        <w:tc>
          <w:tcPr>
            <w:tcW w:w="1232"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申请资金(万元)</w:t>
            </w:r>
          </w:p>
        </w:tc>
        <w:tc>
          <w:tcPr>
            <w:tcW w:w="8226" w:type="dxa"/>
            <w:gridSpan w:val="1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2622"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285" w:hRule="atLeast"/>
        </w:trPr>
        <w:tc>
          <w:tcPr>
            <w:tcW w:w="1232" w:type="dxa"/>
            <w:gridSpan w:val="3"/>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项目资金来源</w:t>
            </w:r>
          </w:p>
        </w:tc>
        <w:tc>
          <w:tcPr>
            <w:tcW w:w="223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资金来源</w:t>
            </w:r>
          </w:p>
        </w:tc>
        <w:tc>
          <w:tcPr>
            <w:tcW w:w="1084"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上年结转(万元)</w:t>
            </w:r>
          </w:p>
        </w:tc>
        <w:tc>
          <w:tcPr>
            <w:tcW w:w="1278"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当年安排资金(万元)</w:t>
            </w:r>
          </w:p>
        </w:tc>
        <w:tc>
          <w:tcPr>
            <w:tcW w:w="1707"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实际到位</w:t>
            </w:r>
          </w:p>
        </w:tc>
        <w:tc>
          <w:tcPr>
            <w:tcW w:w="1508"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实际支出</w:t>
            </w:r>
          </w:p>
        </w:tc>
        <w:tc>
          <w:tcPr>
            <w:tcW w:w="419" w:type="dxa"/>
            <w:vMerge w:val="restart"/>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结转结余金额(万元)</w:t>
            </w:r>
          </w:p>
        </w:tc>
        <w:tc>
          <w:tcPr>
            <w:tcW w:w="2622"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285" w:hRule="atLeast"/>
        </w:trPr>
        <w:tc>
          <w:tcPr>
            <w:tcW w:w="1232" w:type="dxa"/>
            <w:gridSpan w:val="3"/>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223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54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批复金额(万元)</w:t>
            </w:r>
          </w:p>
        </w:tc>
        <w:tc>
          <w:tcPr>
            <w:tcW w:w="54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实际金额(万元)</w:t>
            </w:r>
          </w:p>
        </w:tc>
        <w:tc>
          <w:tcPr>
            <w:tcW w:w="66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批复金额(万元)</w:t>
            </w:r>
          </w:p>
        </w:tc>
        <w:tc>
          <w:tcPr>
            <w:tcW w:w="618"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实际金额(万元)</w:t>
            </w:r>
          </w:p>
        </w:tc>
        <w:tc>
          <w:tcPr>
            <w:tcW w:w="815"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金额(万元)</w:t>
            </w:r>
          </w:p>
        </w:tc>
        <w:tc>
          <w:tcPr>
            <w:tcW w:w="892"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到位率（%）</w:t>
            </w:r>
          </w:p>
        </w:tc>
        <w:tc>
          <w:tcPr>
            <w:tcW w:w="848"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金额(万元)</w:t>
            </w:r>
          </w:p>
        </w:tc>
        <w:tc>
          <w:tcPr>
            <w:tcW w:w="66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支出实现率（%）</w:t>
            </w:r>
          </w:p>
        </w:tc>
        <w:tc>
          <w:tcPr>
            <w:tcW w:w="419" w:type="dxa"/>
            <w:vMerge w:val="continue"/>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2622"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402" w:hRule="atLeast"/>
        </w:trPr>
        <w:tc>
          <w:tcPr>
            <w:tcW w:w="1232" w:type="dxa"/>
            <w:gridSpan w:val="3"/>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2230"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合计</w:t>
            </w:r>
          </w:p>
        </w:tc>
        <w:tc>
          <w:tcPr>
            <w:tcW w:w="542"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542"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6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1360.00</w:t>
            </w:r>
          </w:p>
        </w:tc>
        <w:tc>
          <w:tcPr>
            <w:tcW w:w="618"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1360.00</w:t>
            </w:r>
          </w:p>
        </w:tc>
        <w:tc>
          <w:tcPr>
            <w:tcW w:w="815"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1360.00</w:t>
            </w:r>
          </w:p>
        </w:tc>
        <w:tc>
          <w:tcPr>
            <w:tcW w:w="892"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100.00%</w:t>
            </w:r>
          </w:p>
        </w:tc>
        <w:tc>
          <w:tcPr>
            <w:tcW w:w="848"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1360.00</w:t>
            </w:r>
          </w:p>
        </w:tc>
        <w:tc>
          <w:tcPr>
            <w:tcW w:w="66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100.00%</w:t>
            </w:r>
          </w:p>
        </w:tc>
        <w:tc>
          <w:tcPr>
            <w:tcW w:w="419"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2622"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402" w:hRule="atLeast"/>
        </w:trPr>
        <w:tc>
          <w:tcPr>
            <w:tcW w:w="1232" w:type="dxa"/>
            <w:gridSpan w:val="3"/>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2230" w:type="dxa"/>
            <w:gridSpan w:val="2"/>
            <w:tcBorders>
              <w:top w:val="single" w:color="000000" w:sz="4" w:space="0"/>
              <w:left w:val="nil"/>
              <w:bottom w:val="single" w:color="000000" w:sz="4" w:space="0"/>
              <w:right w:val="single" w:color="000000" w:sz="4" w:space="0"/>
            </w:tcBorders>
            <w:shd w:val="clear" w:color="000000" w:fill="FFFFFF"/>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公共财政预算管理资金</w:t>
            </w:r>
          </w:p>
        </w:tc>
        <w:tc>
          <w:tcPr>
            <w:tcW w:w="542"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542"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6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18"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815"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892"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w:t>
            </w:r>
          </w:p>
        </w:tc>
        <w:tc>
          <w:tcPr>
            <w:tcW w:w="848"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6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w:t>
            </w:r>
          </w:p>
        </w:tc>
        <w:tc>
          <w:tcPr>
            <w:tcW w:w="419"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2622"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402" w:hRule="atLeast"/>
        </w:trPr>
        <w:tc>
          <w:tcPr>
            <w:tcW w:w="1232" w:type="dxa"/>
            <w:gridSpan w:val="3"/>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2230" w:type="dxa"/>
            <w:gridSpan w:val="2"/>
            <w:tcBorders>
              <w:top w:val="single" w:color="000000" w:sz="4" w:space="0"/>
              <w:left w:val="nil"/>
              <w:bottom w:val="single" w:color="000000" w:sz="4" w:space="0"/>
              <w:right w:val="single" w:color="000000" w:sz="4" w:space="0"/>
            </w:tcBorders>
            <w:shd w:val="clear" w:color="000000" w:fill="FFFFFF"/>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政府性资金预算资金</w:t>
            </w:r>
          </w:p>
        </w:tc>
        <w:tc>
          <w:tcPr>
            <w:tcW w:w="542"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542"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6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1360.00</w:t>
            </w:r>
          </w:p>
        </w:tc>
        <w:tc>
          <w:tcPr>
            <w:tcW w:w="618"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1360.00</w:t>
            </w:r>
          </w:p>
        </w:tc>
        <w:tc>
          <w:tcPr>
            <w:tcW w:w="815"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1360.00</w:t>
            </w:r>
          </w:p>
        </w:tc>
        <w:tc>
          <w:tcPr>
            <w:tcW w:w="892"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100.00%</w:t>
            </w:r>
          </w:p>
        </w:tc>
        <w:tc>
          <w:tcPr>
            <w:tcW w:w="848"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1360.00</w:t>
            </w:r>
          </w:p>
        </w:tc>
        <w:tc>
          <w:tcPr>
            <w:tcW w:w="66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100.00%</w:t>
            </w:r>
          </w:p>
        </w:tc>
        <w:tc>
          <w:tcPr>
            <w:tcW w:w="419"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2622"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402" w:hRule="atLeast"/>
        </w:trPr>
        <w:tc>
          <w:tcPr>
            <w:tcW w:w="1232" w:type="dxa"/>
            <w:gridSpan w:val="3"/>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2230" w:type="dxa"/>
            <w:gridSpan w:val="2"/>
            <w:tcBorders>
              <w:top w:val="single" w:color="000000" w:sz="4" w:space="0"/>
              <w:left w:val="nil"/>
              <w:bottom w:val="single" w:color="000000" w:sz="4" w:space="0"/>
              <w:right w:val="single" w:color="000000" w:sz="4" w:space="0"/>
            </w:tcBorders>
            <w:shd w:val="clear" w:color="000000" w:fill="FFFFFF"/>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国有资本经营预算资金</w:t>
            </w:r>
          </w:p>
        </w:tc>
        <w:tc>
          <w:tcPr>
            <w:tcW w:w="542"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542"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6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18"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815"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892"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848"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6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419"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2622"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402" w:hRule="atLeast"/>
        </w:trPr>
        <w:tc>
          <w:tcPr>
            <w:tcW w:w="1232" w:type="dxa"/>
            <w:gridSpan w:val="3"/>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2230" w:type="dxa"/>
            <w:gridSpan w:val="2"/>
            <w:tcBorders>
              <w:top w:val="single" w:color="000000" w:sz="4" w:space="0"/>
              <w:left w:val="nil"/>
              <w:bottom w:val="single" w:color="000000" w:sz="4" w:space="0"/>
              <w:right w:val="single" w:color="000000" w:sz="4" w:space="0"/>
            </w:tcBorders>
            <w:shd w:val="clear" w:color="000000" w:fill="FFFFFF"/>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社会保险基本预算资金</w:t>
            </w:r>
          </w:p>
        </w:tc>
        <w:tc>
          <w:tcPr>
            <w:tcW w:w="542"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542"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6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18"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815"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892"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848"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6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419"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2622"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402" w:hRule="atLeast"/>
        </w:trPr>
        <w:tc>
          <w:tcPr>
            <w:tcW w:w="1232" w:type="dxa"/>
            <w:gridSpan w:val="3"/>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2230" w:type="dxa"/>
            <w:gridSpan w:val="2"/>
            <w:tcBorders>
              <w:top w:val="single" w:color="000000" w:sz="4" w:space="0"/>
              <w:left w:val="nil"/>
              <w:bottom w:val="single" w:color="000000" w:sz="4" w:space="0"/>
              <w:right w:val="single" w:color="000000" w:sz="4" w:space="0"/>
            </w:tcBorders>
            <w:shd w:val="clear" w:color="000000" w:fill="FFFFFF"/>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其他资金</w:t>
            </w:r>
          </w:p>
        </w:tc>
        <w:tc>
          <w:tcPr>
            <w:tcW w:w="542"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542"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6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18"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815"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892"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848"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6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419"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2622"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402" w:hRule="atLeast"/>
        </w:trPr>
        <w:tc>
          <w:tcPr>
            <w:tcW w:w="1232" w:type="dxa"/>
            <w:gridSpan w:val="3"/>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2230" w:type="dxa"/>
            <w:gridSpan w:val="2"/>
            <w:tcBorders>
              <w:top w:val="single" w:color="000000" w:sz="4" w:space="0"/>
              <w:left w:val="nil"/>
              <w:bottom w:val="single" w:color="000000" w:sz="4" w:space="0"/>
              <w:right w:val="single" w:color="000000" w:sz="4" w:space="0"/>
            </w:tcBorders>
            <w:shd w:val="clear" w:color="000000" w:fill="FFFFFF"/>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旗市区拨款(本级)</w:t>
            </w:r>
          </w:p>
        </w:tc>
        <w:tc>
          <w:tcPr>
            <w:tcW w:w="542"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542"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6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18"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815"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892"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848"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6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419"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2622"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402" w:hRule="atLeast"/>
        </w:trPr>
        <w:tc>
          <w:tcPr>
            <w:tcW w:w="1232" w:type="dxa"/>
            <w:gridSpan w:val="3"/>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2230" w:type="dxa"/>
            <w:gridSpan w:val="2"/>
            <w:tcBorders>
              <w:top w:val="single" w:color="000000" w:sz="4" w:space="0"/>
              <w:left w:val="nil"/>
              <w:bottom w:val="single" w:color="000000" w:sz="4" w:space="0"/>
              <w:right w:val="single" w:color="000000" w:sz="4" w:space="0"/>
            </w:tcBorders>
            <w:shd w:val="clear" w:color="000000" w:fill="FFFFFF"/>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中央拨款</w:t>
            </w:r>
          </w:p>
        </w:tc>
        <w:tc>
          <w:tcPr>
            <w:tcW w:w="542"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542"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6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18"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815"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892"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848"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6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419"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2622"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402" w:hRule="atLeast"/>
        </w:trPr>
        <w:tc>
          <w:tcPr>
            <w:tcW w:w="1232" w:type="dxa"/>
            <w:gridSpan w:val="3"/>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2230" w:type="dxa"/>
            <w:gridSpan w:val="2"/>
            <w:tcBorders>
              <w:top w:val="single" w:color="000000" w:sz="4" w:space="0"/>
              <w:left w:val="nil"/>
              <w:bottom w:val="single" w:color="000000" w:sz="4" w:space="0"/>
              <w:right w:val="single" w:color="000000" w:sz="4" w:space="0"/>
            </w:tcBorders>
            <w:shd w:val="clear" w:color="000000" w:fill="FFFFFF"/>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自治区拨款</w:t>
            </w:r>
          </w:p>
        </w:tc>
        <w:tc>
          <w:tcPr>
            <w:tcW w:w="542"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542"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6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18"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815"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892"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848"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6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419"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2622"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402" w:hRule="atLeast"/>
        </w:trPr>
        <w:tc>
          <w:tcPr>
            <w:tcW w:w="1232" w:type="dxa"/>
            <w:gridSpan w:val="3"/>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2230" w:type="dxa"/>
            <w:gridSpan w:val="2"/>
            <w:tcBorders>
              <w:top w:val="single" w:color="000000" w:sz="4" w:space="0"/>
              <w:left w:val="nil"/>
              <w:bottom w:val="single" w:color="000000" w:sz="4" w:space="0"/>
              <w:right w:val="single" w:color="000000" w:sz="4" w:space="0"/>
            </w:tcBorders>
            <w:shd w:val="clear" w:color="000000" w:fill="FFFFFF"/>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预算资金(本级追加)</w:t>
            </w:r>
          </w:p>
        </w:tc>
        <w:tc>
          <w:tcPr>
            <w:tcW w:w="542"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542"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6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18"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815"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892"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848"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66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419"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0.00</w:t>
            </w:r>
          </w:p>
        </w:tc>
        <w:tc>
          <w:tcPr>
            <w:tcW w:w="2622"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402" w:hRule="atLeast"/>
        </w:trPr>
        <w:tc>
          <w:tcPr>
            <w:tcW w:w="1232" w:type="dxa"/>
            <w:gridSpan w:val="3"/>
            <w:vMerge w:val="restart"/>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资金支出情况（万元)</w:t>
            </w:r>
          </w:p>
        </w:tc>
        <w:tc>
          <w:tcPr>
            <w:tcW w:w="2772" w:type="dxa"/>
            <w:gridSpan w:val="3"/>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支出明细内容</w:t>
            </w:r>
          </w:p>
        </w:tc>
        <w:tc>
          <w:tcPr>
            <w:tcW w:w="1820" w:type="dxa"/>
            <w:gridSpan w:val="4"/>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型号</w:t>
            </w:r>
          </w:p>
        </w:tc>
        <w:tc>
          <w:tcPr>
            <w:tcW w:w="1707" w:type="dxa"/>
            <w:gridSpan w:val="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计量单位</w:t>
            </w:r>
          </w:p>
        </w:tc>
        <w:tc>
          <w:tcPr>
            <w:tcW w:w="848"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数量</w:t>
            </w:r>
          </w:p>
        </w:tc>
        <w:tc>
          <w:tcPr>
            <w:tcW w:w="66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单价</w:t>
            </w:r>
          </w:p>
        </w:tc>
        <w:tc>
          <w:tcPr>
            <w:tcW w:w="419"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总额</w:t>
            </w:r>
          </w:p>
        </w:tc>
        <w:tc>
          <w:tcPr>
            <w:tcW w:w="2622"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495" w:hRule="atLeast"/>
        </w:trPr>
        <w:tc>
          <w:tcPr>
            <w:tcW w:w="1232" w:type="dxa"/>
            <w:gridSpan w:val="3"/>
            <w:vMerge w:val="continue"/>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jc w:val="left"/>
              <w:rPr>
                <w:rFonts w:hint="eastAsia" w:ascii="宋体" w:hAnsi="宋体" w:eastAsia="宋体" w:cs="宋体"/>
                <w:i w:val="0"/>
                <w:color w:val="auto"/>
                <w:sz w:val="18"/>
                <w:szCs w:val="18"/>
                <w:u w:val="none"/>
              </w:rPr>
            </w:pPr>
          </w:p>
        </w:tc>
        <w:tc>
          <w:tcPr>
            <w:tcW w:w="2772" w:type="dxa"/>
            <w:gridSpan w:val="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合计</w:t>
            </w:r>
          </w:p>
        </w:tc>
        <w:tc>
          <w:tcPr>
            <w:tcW w:w="1820" w:type="dxa"/>
            <w:gridSpan w:val="4"/>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1707" w:type="dxa"/>
            <w:gridSpan w:val="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848"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1.00</w:t>
            </w:r>
          </w:p>
        </w:tc>
        <w:tc>
          <w:tcPr>
            <w:tcW w:w="66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1360.00</w:t>
            </w:r>
          </w:p>
        </w:tc>
        <w:tc>
          <w:tcPr>
            <w:tcW w:w="419"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1360.00</w:t>
            </w:r>
          </w:p>
        </w:tc>
        <w:tc>
          <w:tcPr>
            <w:tcW w:w="2622"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795" w:hRule="atLeast"/>
        </w:trPr>
        <w:tc>
          <w:tcPr>
            <w:tcW w:w="1232" w:type="dxa"/>
            <w:gridSpan w:val="3"/>
            <w:vMerge w:val="continue"/>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jc w:val="left"/>
              <w:rPr>
                <w:rFonts w:hint="eastAsia" w:ascii="宋体" w:hAnsi="宋体" w:eastAsia="宋体" w:cs="宋体"/>
                <w:i w:val="0"/>
                <w:color w:val="auto"/>
                <w:sz w:val="18"/>
                <w:szCs w:val="18"/>
                <w:u w:val="none"/>
              </w:rPr>
            </w:pPr>
          </w:p>
        </w:tc>
        <w:tc>
          <w:tcPr>
            <w:tcW w:w="2772" w:type="dxa"/>
            <w:gridSpan w:val="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呼伦贝尔市中心城区海拉尔区老城区控制性详细规划及城市设计</w:t>
            </w:r>
          </w:p>
        </w:tc>
        <w:tc>
          <w:tcPr>
            <w:tcW w:w="1820" w:type="dxa"/>
            <w:gridSpan w:val="4"/>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见文件</w:t>
            </w:r>
          </w:p>
        </w:tc>
        <w:tc>
          <w:tcPr>
            <w:tcW w:w="1707" w:type="dxa"/>
            <w:gridSpan w:val="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项目个数</w:t>
            </w:r>
          </w:p>
        </w:tc>
        <w:tc>
          <w:tcPr>
            <w:tcW w:w="848"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w:t>
            </w:r>
          </w:p>
        </w:tc>
        <w:tc>
          <w:tcPr>
            <w:tcW w:w="66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1360.00</w:t>
            </w:r>
          </w:p>
        </w:tc>
        <w:tc>
          <w:tcPr>
            <w:tcW w:w="419"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1360.00</w:t>
            </w:r>
          </w:p>
        </w:tc>
        <w:tc>
          <w:tcPr>
            <w:tcW w:w="2622"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1200" w:hRule="atLeast"/>
        </w:trPr>
        <w:tc>
          <w:tcPr>
            <w:tcW w:w="1232" w:type="dxa"/>
            <w:gridSpan w:val="3"/>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资金管理情况分析</w:t>
            </w:r>
          </w:p>
        </w:tc>
        <w:tc>
          <w:tcPr>
            <w:tcW w:w="8226" w:type="dxa"/>
            <w:gridSpan w:val="1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按照项目进度和合同约定进行付款。</w:t>
            </w:r>
          </w:p>
        </w:tc>
        <w:tc>
          <w:tcPr>
            <w:tcW w:w="2622"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1002" w:hRule="atLeast"/>
        </w:trPr>
        <w:tc>
          <w:tcPr>
            <w:tcW w:w="1232" w:type="dxa"/>
            <w:gridSpan w:val="3"/>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备注</w:t>
            </w:r>
          </w:p>
        </w:tc>
        <w:tc>
          <w:tcPr>
            <w:tcW w:w="8226" w:type="dxa"/>
            <w:gridSpan w:val="1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2622"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1200" w:hRule="atLeast"/>
        </w:trPr>
        <w:tc>
          <w:tcPr>
            <w:tcW w:w="1232" w:type="dxa"/>
            <w:gridSpan w:val="3"/>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项目资金来源（全口径）</w:t>
            </w:r>
          </w:p>
        </w:tc>
        <w:tc>
          <w:tcPr>
            <w:tcW w:w="81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合计</w:t>
            </w:r>
          </w:p>
        </w:tc>
        <w:tc>
          <w:tcPr>
            <w:tcW w:w="142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1,360</w:t>
            </w:r>
          </w:p>
        </w:tc>
        <w:tc>
          <w:tcPr>
            <w:tcW w:w="542"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中央拨款</w:t>
            </w:r>
          </w:p>
        </w:tc>
        <w:tc>
          <w:tcPr>
            <w:tcW w:w="542"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w:t>
            </w:r>
          </w:p>
        </w:tc>
        <w:tc>
          <w:tcPr>
            <w:tcW w:w="1137"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自治区拨款</w:t>
            </w:r>
          </w:p>
        </w:tc>
        <w:tc>
          <w:tcPr>
            <w:tcW w:w="871"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w:t>
            </w:r>
          </w:p>
        </w:tc>
        <w:tc>
          <w:tcPr>
            <w:tcW w:w="977"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市本级拨款</w:t>
            </w:r>
          </w:p>
        </w:tc>
        <w:tc>
          <w:tcPr>
            <w:tcW w:w="848"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1360.00</w:t>
            </w:r>
          </w:p>
        </w:tc>
        <w:tc>
          <w:tcPr>
            <w:tcW w:w="66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其他（非本级）</w:t>
            </w:r>
          </w:p>
        </w:tc>
        <w:tc>
          <w:tcPr>
            <w:tcW w:w="419"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0</w:t>
            </w:r>
          </w:p>
        </w:tc>
        <w:tc>
          <w:tcPr>
            <w:tcW w:w="2622"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540" w:hRule="atLeast"/>
        </w:trPr>
        <w:tc>
          <w:tcPr>
            <w:tcW w:w="9458" w:type="dxa"/>
            <w:gridSpan w:val="16"/>
            <w:tcBorders>
              <w:top w:val="single" w:color="000000" w:sz="4" w:space="0"/>
              <w:left w:val="nil"/>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18"/>
                <w:szCs w:val="18"/>
                <w:u w:val="none"/>
              </w:rPr>
            </w:pPr>
            <w:r>
              <w:rPr>
                <w:rFonts w:hint="eastAsia" w:ascii="宋体" w:hAnsi="宋体" w:eastAsia="宋体" w:cs="宋体"/>
                <w:b/>
                <w:i w:val="0"/>
                <w:color w:val="auto"/>
                <w:kern w:val="0"/>
                <w:sz w:val="18"/>
                <w:szCs w:val="18"/>
                <w:u w:val="none"/>
                <w:lang w:val="en-US" w:eastAsia="zh-CN" w:bidi="ar"/>
              </w:rPr>
              <w:t>三、绩效目标情况</w:t>
            </w:r>
          </w:p>
        </w:tc>
        <w:tc>
          <w:tcPr>
            <w:tcW w:w="2622"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1422" w:hRule="atLeast"/>
        </w:trPr>
        <w:tc>
          <w:tcPr>
            <w:tcW w:w="410" w:type="dxa"/>
            <w:tcBorders>
              <w:top w:val="nil"/>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一级指标</w:t>
            </w:r>
          </w:p>
        </w:tc>
        <w:tc>
          <w:tcPr>
            <w:tcW w:w="411"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二级指标</w:t>
            </w:r>
          </w:p>
        </w:tc>
        <w:tc>
          <w:tcPr>
            <w:tcW w:w="411"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权重</w:t>
            </w:r>
          </w:p>
        </w:tc>
        <w:tc>
          <w:tcPr>
            <w:tcW w:w="81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得分</w:t>
            </w:r>
          </w:p>
        </w:tc>
        <w:tc>
          <w:tcPr>
            <w:tcW w:w="1420"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xml:space="preserve">得分(理由)依据 </w:t>
            </w:r>
          </w:p>
        </w:tc>
        <w:tc>
          <w:tcPr>
            <w:tcW w:w="1744" w:type="dxa"/>
            <w:gridSpan w:val="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预期目标</w:t>
            </w:r>
          </w:p>
        </w:tc>
        <w:tc>
          <w:tcPr>
            <w:tcW w:w="1348" w:type="dxa"/>
            <w:gridSpan w:val="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实际结果</w:t>
            </w:r>
          </w:p>
        </w:tc>
        <w:tc>
          <w:tcPr>
            <w:tcW w:w="977"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指标说明</w:t>
            </w:r>
          </w:p>
        </w:tc>
        <w:tc>
          <w:tcPr>
            <w:tcW w:w="1508"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评分标准</w:t>
            </w:r>
          </w:p>
        </w:tc>
        <w:tc>
          <w:tcPr>
            <w:tcW w:w="419" w:type="dxa"/>
            <w:tcBorders>
              <w:top w:val="nil"/>
              <w:left w:val="nil"/>
              <w:bottom w:val="nil"/>
              <w:right w:val="nil"/>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　</w:t>
            </w:r>
          </w:p>
        </w:tc>
        <w:tc>
          <w:tcPr>
            <w:tcW w:w="2622" w:type="dxa"/>
            <w:tcBorders>
              <w:top w:val="nil"/>
              <w:left w:val="nil"/>
              <w:bottom w:val="nil"/>
              <w:right w:val="nil"/>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　</w:t>
            </w:r>
          </w:p>
        </w:tc>
      </w:tr>
      <w:tr>
        <w:tblPrEx>
          <w:shd w:val="clear" w:color="auto" w:fill="auto"/>
          <w:tblCellMar>
            <w:top w:w="0" w:type="dxa"/>
            <w:left w:w="0" w:type="dxa"/>
            <w:bottom w:w="0" w:type="dxa"/>
            <w:right w:w="0" w:type="dxa"/>
          </w:tblCellMar>
        </w:tblPrEx>
        <w:trPr>
          <w:trHeight w:val="1785" w:hRule="atLeast"/>
        </w:trPr>
        <w:tc>
          <w:tcPr>
            <w:tcW w:w="410" w:type="dxa"/>
            <w:vMerge w:val="restart"/>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产出指标</w:t>
            </w:r>
          </w:p>
        </w:tc>
        <w:tc>
          <w:tcPr>
            <w:tcW w:w="41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质量指标</w:t>
            </w:r>
          </w:p>
        </w:tc>
        <w:tc>
          <w:tcPr>
            <w:tcW w:w="41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13</w:t>
            </w:r>
          </w:p>
        </w:tc>
        <w:tc>
          <w:tcPr>
            <w:tcW w:w="81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13.00</w:t>
            </w:r>
          </w:p>
        </w:tc>
        <w:tc>
          <w:tcPr>
            <w:tcW w:w="142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《呼伦贝尔市中心城区海拉尔区老城区控制性详细规划及城市设计》最终成果的分析研究内容全面、合理、深入。</w:t>
            </w:r>
          </w:p>
        </w:tc>
        <w:tc>
          <w:tcPr>
            <w:tcW w:w="1744"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《呼伦贝尔市中心城区海拉尔区老城区控制性详细规划及城市设计》最终成果的分析研究内容全面、合理、深入。</w:t>
            </w:r>
          </w:p>
        </w:tc>
        <w:tc>
          <w:tcPr>
            <w:tcW w:w="1348"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《呼伦贝尔市中心城区海拉尔区老城区控制性详细规划及城市设计》最终成果的分析研究内容全面、合理、深入。</w:t>
            </w:r>
          </w:p>
        </w:tc>
        <w:tc>
          <w:tcPr>
            <w:tcW w:w="977"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评价项目是否进行验收，验收情况。验收合格得满分，不合格0分</w:t>
            </w:r>
          </w:p>
        </w:tc>
        <w:tc>
          <w:tcPr>
            <w:tcW w:w="1508"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项目完成的质量验收情况，用以反映和考核项目产出质量目标的实现程度</w:t>
            </w:r>
          </w:p>
        </w:tc>
        <w:tc>
          <w:tcPr>
            <w:tcW w:w="419"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2622"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4785" w:hRule="atLeast"/>
        </w:trPr>
        <w:tc>
          <w:tcPr>
            <w:tcW w:w="410" w:type="dxa"/>
            <w:vMerge w:val="continue"/>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41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数量指标</w:t>
            </w:r>
          </w:p>
        </w:tc>
        <w:tc>
          <w:tcPr>
            <w:tcW w:w="41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13</w:t>
            </w:r>
          </w:p>
        </w:tc>
        <w:tc>
          <w:tcPr>
            <w:tcW w:w="81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13.00</w:t>
            </w:r>
          </w:p>
        </w:tc>
        <w:tc>
          <w:tcPr>
            <w:tcW w:w="142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完成控制性详细规划成果（含设计说明、文本，专题研究，控制单元和地块控规图纸、分图图则）、控规阶段的城市设计成果（含设计说明，城市设计图纸，城市设计导则）、规委会上会简本15套、.彩挂图1套、演示文件（ppt）1份、上述成果的电子文件2份。</w:t>
            </w:r>
          </w:p>
        </w:tc>
        <w:tc>
          <w:tcPr>
            <w:tcW w:w="1744"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完成控制性详细规划成果（含设计说明、文本，专题研究，控制单元和地块控规图纸、分图图则）、控规阶段的城市设计成果（含设计说明，城市设计图纸，城市设计导则）、规委会上会简本15套、.彩挂图1套、演示文件（ppt）1份、上述成果的电子文件2份。</w:t>
            </w:r>
          </w:p>
        </w:tc>
        <w:tc>
          <w:tcPr>
            <w:tcW w:w="1348"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完成控制性详细规划成果（含设计说明、文本，专题研究，控制单元和地块控规图纸、分图图则）、控规阶段的城市设计成果（含设计说明，城市设计图纸，城市设计导则）、规委会上会简本15套、.彩挂图1套、演示文件（ppt）1份、上述成果的电子文件2份。</w:t>
            </w:r>
          </w:p>
        </w:tc>
        <w:tc>
          <w:tcPr>
            <w:tcW w:w="977"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xml:space="preserve"> 实际产出数：一定时期（本年度或项目期）内项目实际产出的产品或提供的服务数量。 计划产出数：项目绩效目标确定的在一定时期（本年度或项目期）内计划产出的产品或提供的服务数量。实际完成率=（实际产出数/计划产出数）×100%。100%得满分，90%以上得指标分值的60%，80%以上得20%，低于80%得0分</w:t>
            </w:r>
          </w:p>
        </w:tc>
        <w:tc>
          <w:tcPr>
            <w:tcW w:w="1508"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项目实施的计划产出数，用以反映和考核项目产出数量目标的实现程度</w:t>
            </w:r>
          </w:p>
        </w:tc>
        <w:tc>
          <w:tcPr>
            <w:tcW w:w="419"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2622"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3975" w:hRule="atLeast"/>
        </w:trPr>
        <w:tc>
          <w:tcPr>
            <w:tcW w:w="410" w:type="dxa"/>
            <w:vMerge w:val="continue"/>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41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时效指标</w:t>
            </w:r>
          </w:p>
        </w:tc>
        <w:tc>
          <w:tcPr>
            <w:tcW w:w="41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12</w:t>
            </w:r>
          </w:p>
        </w:tc>
        <w:tc>
          <w:tcPr>
            <w:tcW w:w="81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12.00</w:t>
            </w:r>
          </w:p>
        </w:tc>
        <w:tc>
          <w:tcPr>
            <w:tcW w:w="142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2019年底前完成《呼伦贝尔市中心城区海拉尔区老城区控制性详细规划及城市设计》最终成果。</w:t>
            </w:r>
          </w:p>
        </w:tc>
        <w:tc>
          <w:tcPr>
            <w:tcW w:w="1744"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2019年底前完成《呼伦贝尔市中心城区海拉尔区老城区控制性详细规划及城市设计》最终成果。</w:t>
            </w:r>
          </w:p>
        </w:tc>
        <w:tc>
          <w:tcPr>
            <w:tcW w:w="1348"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2019年底前完成《呼伦贝尔市中心城区海拉尔区老城区控制性详细规划及城市设计》最终成果。</w:t>
            </w:r>
          </w:p>
        </w:tc>
        <w:tc>
          <w:tcPr>
            <w:tcW w:w="977"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完成及时率=[（计划完成时间-实际完成时间）/计划完成时间]×100%。 实际完成时间：项目实施单位完成该项目实际所耗用的时间。 计划完成时间：按照项目实施计划或相关规定完成该项目所需的时间。全部执行政府采购的得满分，应执行未执行的不得分。</w:t>
            </w:r>
          </w:p>
        </w:tc>
        <w:tc>
          <w:tcPr>
            <w:tcW w:w="1508"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项目实际提前完成时间与计划完成时间的比率，用以反映和考核项目产出时效目标的实现程度</w:t>
            </w:r>
          </w:p>
        </w:tc>
        <w:tc>
          <w:tcPr>
            <w:tcW w:w="419"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2622"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1422" w:hRule="atLeast"/>
        </w:trPr>
        <w:tc>
          <w:tcPr>
            <w:tcW w:w="410" w:type="dxa"/>
            <w:vMerge w:val="continue"/>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41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成本指标</w:t>
            </w:r>
          </w:p>
        </w:tc>
        <w:tc>
          <w:tcPr>
            <w:tcW w:w="41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12</w:t>
            </w:r>
          </w:p>
        </w:tc>
        <w:tc>
          <w:tcPr>
            <w:tcW w:w="81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12.00</w:t>
            </w:r>
          </w:p>
        </w:tc>
        <w:tc>
          <w:tcPr>
            <w:tcW w:w="142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财政预算内完成最终成果。</w:t>
            </w:r>
          </w:p>
        </w:tc>
        <w:tc>
          <w:tcPr>
            <w:tcW w:w="1744"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财政预算内完成最终成果。</w:t>
            </w:r>
          </w:p>
        </w:tc>
        <w:tc>
          <w:tcPr>
            <w:tcW w:w="1348"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财政预算内完成最终成果。</w:t>
            </w:r>
          </w:p>
        </w:tc>
        <w:tc>
          <w:tcPr>
            <w:tcW w:w="977"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项目测算投资和预算对比情况。按项目实际情况酌情打分。</w:t>
            </w:r>
          </w:p>
        </w:tc>
        <w:tc>
          <w:tcPr>
            <w:tcW w:w="1508"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项目完成后的实际成本与预算对比情况</w:t>
            </w:r>
          </w:p>
        </w:tc>
        <w:tc>
          <w:tcPr>
            <w:tcW w:w="419"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2622"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1422" w:hRule="atLeast"/>
        </w:trPr>
        <w:tc>
          <w:tcPr>
            <w:tcW w:w="410"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满意度指标</w:t>
            </w:r>
          </w:p>
        </w:tc>
        <w:tc>
          <w:tcPr>
            <w:tcW w:w="41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社会公众或服务对象满意度</w:t>
            </w:r>
          </w:p>
        </w:tc>
        <w:tc>
          <w:tcPr>
            <w:tcW w:w="41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w:t>
            </w:r>
          </w:p>
        </w:tc>
        <w:tc>
          <w:tcPr>
            <w:tcW w:w="81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10.00</w:t>
            </w:r>
          </w:p>
        </w:tc>
        <w:tc>
          <w:tcPr>
            <w:tcW w:w="142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社会公众或服务对象满意度良好</w:t>
            </w:r>
          </w:p>
        </w:tc>
        <w:tc>
          <w:tcPr>
            <w:tcW w:w="1744"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社会公众或服务对象满意度良好</w:t>
            </w:r>
          </w:p>
        </w:tc>
        <w:tc>
          <w:tcPr>
            <w:tcW w:w="1348"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社会公众或服务对象满意度良好</w:t>
            </w:r>
          </w:p>
        </w:tc>
        <w:tc>
          <w:tcPr>
            <w:tcW w:w="977"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社会公众或服务对象是指因该项目实施而受到影响的部门（单位）、群体或个人。一般采取社会调查的方式。</w:t>
            </w:r>
          </w:p>
        </w:tc>
        <w:tc>
          <w:tcPr>
            <w:tcW w:w="1508"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社会公众或服务对象对项目实施效果的满意程度</w:t>
            </w:r>
          </w:p>
        </w:tc>
        <w:tc>
          <w:tcPr>
            <w:tcW w:w="419"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2622"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1422" w:hRule="atLeast"/>
        </w:trPr>
        <w:tc>
          <w:tcPr>
            <w:tcW w:w="410" w:type="dxa"/>
            <w:vMerge w:val="restart"/>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效益指标</w:t>
            </w:r>
          </w:p>
        </w:tc>
        <w:tc>
          <w:tcPr>
            <w:tcW w:w="41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经济效益</w:t>
            </w:r>
          </w:p>
        </w:tc>
        <w:tc>
          <w:tcPr>
            <w:tcW w:w="41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w:t>
            </w:r>
          </w:p>
        </w:tc>
        <w:tc>
          <w:tcPr>
            <w:tcW w:w="81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10.00</w:t>
            </w:r>
          </w:p>
        </w:tc>
        <w:tc>
          <w:tcPr>
            <w:tcW w:w="142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经济效益良好</w:t>
            </w:r>
          </w:p>
        </w:tc>
        <w:tc>
          <w:tcPr>
            <w:tcW w:w="1744"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经济效益良好</w:t>
            </w:r>
          </w:p>
        </w:tc>
        <w:tc>
          <w:tcPr>
            <w:tcW w:w="1348"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经济效益良好</w:t>
            </w:r>
          </w:p>
        </w:tc>
        <w:tc>
          <w:tcPr>
            <w:tcW w:w="977"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可根据项目实际并结合绩效目标设立情况有选择的进行设置，并将其细化为相应的个性化指标。</w:t>
            </w:r>
          </w:p>
        </w:tc>
        <w:tc>
          <w:tcPr>
            <w:tcW w:w="1508"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项目实施对经济发展所带来的直接或间接影响情况</w:t>
            </w:r>
          </w:p>
        </w:tc>
        <w:tc>
          <w:tcPr>
            <w:tcW w:w="419"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2622"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1860" w:hRule="atLeast"/>
        </w:trPr>
        <w:tc>
          <w:tcPr>
            <w:tcW w:w="410" w:type="dxa"/>
            <w:vMerge w:val="continue"/>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41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社会效益</w:t>
            </w:r>
          </w:p>
        </w:tc>
        <w:tc>
          <w:tcPr>
            <w:tcW w:w="41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w:t>
            </w:r>
          </w:p>
        </w:tc>
        <w:tc>
          <w:tcPr>
            <w:tcW w:w="81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10.00</w:t>
            </w:r>
          </w:p>
        </w:tc>
        <w:tc>
          <w:tcPr>
            <w:tcW w:w="142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社会效益良好</w:t>
            </w:r>
          </w:p>
        </w:tc>
        <w:tc>
          <w:tcPr>
            <w:tcW w:w="1744"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社会效益良好</w:t>
            </w:r>
          </w:p>
        </w:tc>
        <w:tc>
          <w:tcPr>
            <w:tcW w:w="1348"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社会效益良好</w:t>
            </w:r>
          </w:p>
        </w:tc>
        <w:tc>
          <w:tcPr>
            <w:tcW w:w="977"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可根据项目实际并结合绩效目标设立情况有选择的进行设置，并将其细化为相应的个性化指标。</w:t>
            </w:r>
          </w:p>
        </w:tc>
        <w:tc>
          <w:tcPr>
            <w:tcW w:w="1508"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项目实施对社会发展所带来的直接或间接影响情况</w:t>
            </w:r>
          </w:p>
        </w:tc>
        <w:tc>
          <w:tcPr>
            <w:tcW w:w="419"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2622"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1665" w:hRule="atLeast"/>
        </w:trPr>
        <w:tc>
          <w:tcPr>
            <w:tcW w:w="410" w:type="dxa"/>
            <w:vMerge w:val="continue"/>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41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生态效益</w:t>
            </w:r>
          </w:p>
        </w:tc>
        <w:tc>
          <w:tcPr>
            <w:tcW w:w="41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w:t>
            </w:r>
          </w:p>
        </w:tc>
        <w:tc>
          <w:tcPr>
            <w:tcW w:w="81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10.00</w:t>
            </w:r>
          </w:p>
        </w:tc>
        <w:tc>
          <w:tcPr>
            <w:tcW w:w="142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生态效益良好</w:t>
            </w:r>
          </w:p>
        </w:tc>
        <w:tc>
          <w:tcPr>
            <w:tcW w:w="1744"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生态效益良好</w:t>
            </w:r>
          </w:p>
        </w:tc>
        <w:tc>
          <w:tcPr>
            <w:tcW w:w="1348"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生态效益良好</w:t>
            </w:r>
          </w:p>
        </w:tc>
        <w:tc>
          <w:tcPr>
            <w:tcW w:w="977"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xml:space="preserve">  可根据项目实际并结合绩效目标设立情况有选择的进行设置，并将其细化为相应的个性化指标。</w:t>
            </w:r>
          </w:p>
        </w:tc>
        <w:tc>
          <w:tcPr>
            <w:tcW w:w="1508"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项目实施对生态环境所带来的直接或间接影响情况</w:t>
            </w:r>
          </w:p>
        </w:tc>
        <w:tc>
          <w:tcPr>
            <w:tcW w:w="419"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2622"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1422" w:hRule="atLeast"/>
        </w:trPr>
        <w:tc>
          <w:tcPr>
            <w:tcW w:w="410" w:type="dxa"/>
            <w:vMerge w:val="continue"/>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41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可持续影响</w:t>
            </w:r>
          </w:p>
        </w:tc>
        <w:tc>
          <w:tcPr>
            <w:tcW w:w="411"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w:t>
            </w:r>
          </w:p>
        </w:tc>
        <w:tc>
          <w:tcPr>
            <w:tcW w:w="81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10.00</w:t>
            </w:r>
          </w:p>
        </w:tc>
        <w:tc>
          <w:tcPr>
            <w:tcW w:w="1420" w:type="dxa"/>
            <w:tcBorders>
              <w:top w:val="nil"/>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可持续影响良好</w:t>
            </w:r>
          </w:p>
        </w:tc>
        <w:tc>
          <w:tcPr>
            <w:tcW w:w="1744"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可持续影响良好</w:t>
            </w:r>
          </w:p>
        </w:tc>
        <w:tc>
          <w:tcPr>
            <w:tcW w:w="1348" w:type="dxa"/>
            <w:gridSpan w:val="3"/>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可持续影响良好</w:t>
            </w:r>
          </w:p>
        </w:tc>
        <w:tc>
          <w:tcPr>
            <w:tcW w:w="977"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可根据项目实际并结合绩效目标设立情况有选择的进行设置，并将其细化为相应的个性化指标。</w:t>
            </w:r>
          </w:p>
        </w:tc>
        <w:tc>
          <w:tcPr>
            <w:tcW w:w="1508" w:type="dxa"/>
            <w:gridSpan w:val="2"/>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项目后续运行及成效发挥的可持续影响情况</w:t>
            </w:r>
          </w:p>
        </w:tc>
        <w:tc>
          <w:tcPr>
            <w:tcW w:w="419"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c>
          <w:tcPr>
            <w:tcW w:w="2622"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552" w:hRule="atLeast"/>
        </w:trPr>
        <w:tc>
          <w:tcPr>
            <w:tcW w:w="9458" w:type="dxa"/>
            <w:gridSpan w:val="16"/>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18"/>
                <w:szCs w:val="18"/>
                <w:u w:val="none"/>
              </w:rPr>
            </w:pPr>
            <w:r>
              <w:rPr>
                <w:rFonts w:hint="eastAsia" w:ascii="宋体" w:hAnsi="宋体" w:eastAsia="宋体" w:cs="宋体"/>
                <w:b/>
                <w:i w:val="0"/>
                <w:color w:val="auto"/>
                <w:kern w:val="0"/>
                <w:sz w:val="18"/>
                <w:szCs w:val="18"/>
                <w:u w:val="none"/>
                <w:lang w:val="en-US" w:eastAsia="zh-CN" w:bidi="ar"/>
              </w:rPr>
              <w:t>四、项目绩效综合评价意见</w:t>
            </w:r>
          </w:p>
        </w:tc>
        <w:tc>
          <w:tcPr>
            <w:tcW w:w="2622"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402" w:hRule="atLeast"/>
        </w:trPr>
        <w:tc>
          <w:tcPr>
            <w:tcW w:w="1232" w:type="dxa"/>
            <w:gridSpan w:val="3"/>
            <w:vMerge w:val="restart"/>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评价组成员</w:t>
            </w:r>
          </w:p>
        </w:tc>
        <w:tc>
          <w:tcPr>
            <w:tcW w:w="2230"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姓名</w:t>
            </w:r>
          </w:p>
        </w:tc>
        <w:tc>
          <w:tcPr>
            <w:tcW w:w="2221" w:type="dxa"/>
            <w:gridSpan w:val="4"/>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职称</w:t>
            </w:r>
          </w:p>
        </w:tc>
        <w:tc>
          <w:tcPr>
            <w:tcW w:w="3356" w:type="dxa"/>
            <w:gridSpan w:val="6"/>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工作单位</w:t>
            </w:r>
          </w:p>
        </w:tc>
        <w:tc>
          <w:tcPr>
            <w:tcW w:w="419"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签名</w:t>
            </w:r>
          </w:p>
        </w:tc>
        <w:tc>
          <w:tcPr>
            <w:tcW w:w="2622" w:type="dxa"/>
            <w:tcBorders>
              <w:top w:val="nil"/>
              <w:left w:val="nil"/>
              <w:bottom w:val="nil"/>
              <w:right w:val="nil"/>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　</w:t>
            </w:r>
          </w:p>
        </w:tc>
      </w:tr>
      <w:tr>
        <w:tblPrEx>
          <w:shd w:val="clear" w:color="auto" w:fill="auto"/>
          <w:tblCellMar>
            <w:top w:w="0" w:type="dxa"/>
            <w:left w:w="0" w:type="dxa"/>
            <w:bottom w:w="0" w:type="dxa"/>
            <w:right w:w="0" w:type="dxa"/>
          </w:tblCellMar>
        </w:tblPrEx>
        <w:trPr>
          <w:trHeight w:val="402" w:hRule="atLeast"/>
        </w:trPr>
        <w:tc>
          <w:tcPr>
            <w:tcW w:w="1232" w:type="dxa"/>
            <w:gridSpan w:val="3"/>
            <w:vMerge w:val="continue"/>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2230"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张文春</w:t>
            </w:r>
          </w:p>
        </w:tc>
        <w:tc>
          <w:tcPr>
            <w:tcW w:w="2221" w:type="dxa"/>
            <w:gridSpan w:val="4"/>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城乡详规管理科科长</w:t>
            </w:r>
          </w:p>
        </w:tc>
        <w:tc>
          <w:tcPr>
            <w:tcW w:w="3356" w:type="dxa"/>
            <w:gridSpan w:val="6"/>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呼伦贝尔市自然资源局</w:t>
            </w:r>
          </w:p>
        </w:tc>
        <w:tc>
          <w:tcPr>
            <w:tcW w:w="419"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2622" w:type="dxa"/>
            <w:tcBorders>
              <w:top w:val="nil"/>
              <w:left w:val="nil"/>
              <w:bottom w:val="nil"/>
              <w:right w:val="nil"/>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　</w:t>
            </w:r>
          </w:p>
        </w:tc>
      </w:tr>
      <w:tr>
        <w:tblPrEx>
          <w:shd w:val="clear" w:color="auto" w:fill="auto"/>
          <w:tblCellMar>
            <w:top w:w="0" w:type="dxa"/>
            <w:left w:w="0" w:type="dxa"/>
            <w:bottom w:w="0" w:type="dxa"/>
            <w:right w:w="0" w:type="dxa"/>
          </w:tblCellMar>
        </w:tblPrEx>
        <w:trPr>
          <w:trHeight w:val="402" w:hRule="atLeast"/>
        </w:trPr>
        <w:tc>
          <w:tcPr>
            <w:tcW w:w="1232" w:type="dxa"/>
            <w:gridSpan w:val="3"/>
            <w:vMerge w:val="continue"/>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2230"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宫春</w:t>
            </w:r>
          </w:p>
        </w:tc>
        <w:tc>
          <w:tcPr>
            <w:tcW w:w="2221" w:type="dxa"/>
            <w:gridSpan w:val="4"/>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财务审计科科员</w:t>
            </w:r>
          </w:p>
        </w:tc>
        <w:tc>
          <w:tcPr>
            <w:tcW w:w="3356" w:type="dxa"/>
            <w:gridSpan w:val="6"/>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呼伦贝尔市自然资源局</w:t>
            </w:r>
          </w:p>
        </w:tc>
        <w:tc>
          <w:tcPr>
            <w:tcW w:w="419"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2622" w:type="dxa"/>
            <w:tcBorders>
              <w:top w:val="nil"/>
              <w:left w:val="nil"/>
              <w:bottom w:val="nil"/>
              <w:right w:val="nil"/>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　</w:t>
            </w:r>
          </w:p>
        </w:tc>
      </w:tr>
      <w:tr>
        <w:tblPrEx>
          <w:shd w:val="clear" w:color="auto" w:fill="auto"/>
          <w:tblCellMar>
            <w:top w:w="0" w:type="dxa"/>
            <w:left w:w="0" w:type="dxa"/>
            <w:bottom w:w="0" w:type="dxa"/>
            <w:right w:w="0" w:type="dxa"/>
          </w:tblCellMar>
        </w:tblPrEx>
        <w:trPr>
          <w:trHeight w:val="402" w:hRule="atLeast"/>
        </w:trPr>
        <w:tc>
          <w:tcPr>
            <w:tcW w:w="1232" w:type="dxa"/>
            <w:gridSpan w:val="3"/>
            <w:vMerge w:val="continue"/>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jc w:val="center"/>
              <w:rPr>
                <w:rFonts w:hint="eastAsia" w:ascii="宋体" w:hAnsi="宋体" w:eastAsia="宋体" w:cs="宋体"/>
                <w:i w:val="0"/>
                <w:color w:val="auto"/>
                <w:sz w:val="18"/>
                <w:szCs w:val="18"/>
                <w:u w:val="none"/>
              </w:rPr>
            </w:pPr>
          </w:p>
        </w:tc>
        <w:tc>
          <w:tcPr>
            <w:tcW w:w="2230" w:type="dxa"/>
            <w:gridSpan w:val="2"/>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陈琳</w:t>
            </w:r>
          </w:p>
        </w:tc>
        <w:tc>
          <w:tcPr>
            <w:tcW w:w="2221" w:type="dxa"/>
            <w:gridSpan w:val="4"/>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城乡详规管理科科员</w:t>
            </w:r>
          </w:p>
        </w:tc>
        <w:tc>
          <w:tcPr>
            <w:tcW w:w="3356" w:type="dxa"/>
            <w:gridSpan w:val="6"/>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呼伦贝尔市自然资源局</w:t>
            </w:r>
          </w:p>
        </w:tc>
        <w:tc>
          <w:tcPr>
            <w:tcW w:w="419" w:type="dxa"/>
            <w:tcBorders>
              <w:top w:val="nil"/>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2622" w:type="dxa"/>
            <w:tcBorders>
              <w:top w:val="nil"/>
              <w:left w:val="nil"/>
              <w:bottom w:val="nil"/>
              <w:right w:val="nil"/>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　</w:t>
            </w:r>
          </w:p>
        </w:tc>
      </w:tr>
      <w:tr>
        <w:tblPrEx>
          <w:shd w:val="clear" w:color="auto" w:fill="auto"/>
          <w:tblCellMar>
            <w:top w:w="0" w:type="dxa"/>
            <w:left w:w="0" w:type="dxa"/>
            <w:bottom w:w="0" w:type="dxa"/>
            <w:right w:w="0" w:type="dxa"/>
          </w:tblCellMar>
        </w:tblPrEx>
        <w:trPr>
          <w:trHeight w:val="627" w:hRule="atLeast"/>
        </w:trPr>
        <w:tc>
          <w:tcPr>
            <w:tcW w:w="1232" w:type="dxa"/>
            <w:gridSpan w:val="3"/>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综合评价得分</w:t>
            </w:r>
          </w:p>
        </w:tc>
        <w:tc>
          <w:tcPr>
            <w:tcW w:w="8226" w:type="dxa"/>
            <w:gridSpan w:val="1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100.00</w:t>
            </w:r>
          </w:p>
        </w:tc>
        <w:tc>
          <w:tcPr>
            <w:tcW w:w="2622" w:type="dxa"/>
            <w:tcBorders>
              <w:top w:val="nil"/>
              <w:left w:val="nil"/>
              <w:bottom w:val="nil"/>
              <w:right w:val="nil"/>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　</w:t>
            </w:r>
          </w:p>
        </w:tc>
      </w:tr>
      <w:tr>
        <w:tblPrEx>
          <w:shd w:val="clear" w:color="auto" w:fill="auto"/>
          <w:tblCellMar>
            <w:top w:w="0" w:type="dxa"/>
            <w:left w:w="0" w:type="dxa"/>
            <w:bottom w:w="0" w:type="dxa"/>
            <w:right w:w="0" w:type="dxa"/>
          </w:tblCellMar>
        </w:tblPrEx>
        <w:trPr>
          <w:trHeight w:val="709" w:hRule="atLeast"/>
        </w:trPr>
        <w:tc>
          <w:tcPr>
            <w:tcW w:w="1232" w:type="dxa"/>
            <w:gridSpan w:val="3"/>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综合绩效等级</w:t>
            </w:r>
          </w:p>
        </w:tc>
        <w:tc>
          <w:tcPr>
            <w:tcW w:w="8226" w:type="dxa"/>
            <w:gridSpan w:val="1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优</w:t>
            </w:r>
          </w:p>
        </w:tc>
        <w:tc>
          <w:tcPr>
            <w:tcW w:w="2622" w:type="dxa"/>
            <w:tcBorders>
              <w:top w:val="nil"/>
              <w:left w:val="nil"/>
              <w:bottom w:val="nil"/>
              <w:right w:val="nil"/>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　</w:t>
            </w:r>
          </w:p>
        </w:tc>
      </w:tr>
      <w:tr>
        <w:tblPrEx>
          <w:shd w:val="clear" w:color="auto" w:fill="auto"/>
          <w:tblCellMar>
            <w:top w:w="0" w:type="dxa"/>
            <w:left w:w="0" w:type="dxa"/>
            <w:bottom w:w="0" w:type="dxa"/>
            <w:right w:w="0" w:type="dxa"/>
          </w:tblCellMar>
        </w:tblPrEx>
        <w:trPr>
          <w:trHeight w:val="720" w:hRule="atLeast"/>
        </w:trPr>
        <w:tc>
          <w:tcPr>
            <w:tcW w:w="1232" w:type="dxa"/>
            <w:gridSpan w:val="3"/>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综合评价意见</w:t>
            </w:r>
          </w:p>
        </w:tc>
        <w:tc>
          <w:tcPr>
            <w:tcW w:w="8226" w:type="dxa"/>
            <w:gridSpan w:val="1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优</w:t>
            </w:r>
          </w:p>
        </w:tc>
        <w:tc>
          <w:tcPr>
            <w:tcW w:w="2622" w:type="dxa"/>
            <w:tcBorders>
              <w:top w:val="nil"/>
              <w:left w:val="nil"/>
              <w:bottom w:val="nil"/>
              <w:right w:val="nil"/>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　</w:t>
            </w:r>
          </w:p>
        </w:tc>
      </w:tr>
      <w:tr>
        <w:tblPrEx>
          <w:shd w:val="clear" w:color="auto" w:fill="auto"/>
          <w:tblCellMar>
            <w:top w:w="0" w:type="dxa"/>
            <w:left w:w="0" w:type="dxa"/>
            <w:bottom w:w="0" w:type="dxa"/>
            <w:right w:w="0" w:type="dxa"/>
          </w:tblCellMar>
        </w:tblPrEx>
        <w:trPr>
          <w:trHeight w:val="709" w:hRule="atLeast"/>
        </w:trPr>
        <w:tc>
          <w:tcPr>
            <w:tcW w:w="1232" w:type="dxa"/>
            <w:gridSpan w:val="3"/>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综合评价问题</w:t>
            </w:r>
          </w:p>
        </w:tc>
        <w:tc>
          <w:tcPr>
            <w:tcW w:w="8226" w:type="dxa"/>
            <w:gridSpan w:val="13"/>
            <w:tcBorders>
              <w:top w:val="single" w:color="000000" w:sz="4" w:space="0"/>
              <w:left w:val="nil"/>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无</w:t>
            </w:r>
          </w:p>
        </w:tc>
        <w:tc>
          <w:tcPr>
            <w:tcW w:w="2622" w:type="dxa"/>
            <w:tcBorders>
              <w:top w:val="nil"/>
              <w:left w:val="nil"/>
              <w:bottom w:val="nil"/>
              <w:right w:val="nil"/>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　</w:t>
            </w:r>
          </w:p>
        </w:tc>
      </w:tr>
      <w:tr>
        <w:tblPrEx>
          <w:shd w:val="clear" w:color="auto" w:fill="auto"/>
          <w:tblCellMar>
            <w:top w:w="0" w:type="dxa"/>
            <w:left w:w="0" w:type="dxa"/>
            <w:bottom w:w="0" w:type="dxa"/>
            <w:right w:w="0" w:type="dxa"/>
          </w:tblCellMar>
        </w:tblPrEx>
        <w:trPr>
          <w:trHeight w:val="312" w:hRule="atLeast"/>
        </w:trPr>
        <w:tc>
          <w:tcPr>
            <w:tcW w:w="9458" w:type="dxa"/>
            <w:gridSpan w:val="16"/>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18"/>
                <w:szCs w:val="18"/>
                <w:u w:val="none"/>
              </w:rPr>
            </w:pPr>
            <w:r>
              <w:rPr>
                <w:rFonts w:hint="eastAsia" w:ascii="宋体" w:hAnsi="宋体" w:eastAsia="宋体" w:cs="宋体"/>
                <w:b/>
                <w:i w:val="0"/>
                <w:color w:val="auto"/>
                <w:kern w:val="0"/>
                <w:sz w:val="18"/>
                <w:szCs w:val="18"/>
                <w:u w:val="none"/>
                <w:lang w:val="en-US" w:eastAsia="zh-CN" w:bidi="ar"/>
              </w:rPr>
              <w:t>审核意见</w:t>
            </w:r>
          </w:p>
        </w:tc>
        <w:tc>
          <w:tcPr>
            <w:tcW w:w="2622" w:type="dxa"/>
            <w:tcBorders>
              <w:top w:val="nil"/>
              <w:left w:val="nil"/>
              <w:bottom w:val="nil"/>
              <w:right w:val="nil"/>
            </w:tcBorders>
            <w:shd w:val="clear" w:color="auto" w:fill="auto"/>
            <w:tcMar>
              <w:top w:w="15" w:type="dxa"/>
              <w:left w:w="15" w:type="dxa"/>
              <w:right w:w="15" w:type="dxa"/>
            </w:tcMar>
            <w:vAlign w:val="center"/>
          </w:tcPr>
          <w:p>
            <w:pPr>
              <w:jc w:val="center"/>
              <w:rPr>
                <w:rFonts w:hint="default" w:ascii="monospace" w:hAnsi="monospace" w:eastAsia="monospace" w:cs="monospace"/>
                <w:b/>
                <w:i w:val="0"/>
                <w:color w:val="auto"/>
                <w:sz w:val="32"/>
                <w:szCs w:val="32"/>
                <w:u w:val="none"/>
              </w:rPr>
            </w:pPr>
          </w:p>
        </w:tc>
      </w:tr>
      <w:tr>
        <w:tblPrEx>
          <w:shd w:val="clear" w:color="auto" w:fill="auto"/>
          <w:tblCellMar>
            <w:top w:w="0" w:type="dxa"/>
            <w:left w:w="0" w:type="dxa"/>
            <w:bottom w:w="0" w:type="dxa"/>
            <w:right w:w="0" w:type="dxa"/>
          </w:tblCellMar>
        </w:tblPrEx>
        <w:trPr>
          <w:trHeight w:val="1602" w:hRule="atLeast"/>
        </w:trPr>
        <w:tc>
          <w:tcPr>
            <w:tcW w:w="1232" w:type="dxa"/>
            <w:gridSpan w:val="3"/>
            <w:vMerge w:val="restart"/>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申报单位签章</w:t>
            </w:r>
          </w:p>
        </w:tc>
        <w:tc>
          <w:tcPr>
            <w:tcW w:w="3974" w:type="dxa"/>
            <w:gridSpan w:val="5"/>
            <w:tcBorders>
              <w:top w:val="single" w:color="000000" w:sz="4" w:space="0"/>
              <w:left w:val="nil"/>
              <w:bottom w:val="nil"/>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提交评审</w:t>
            </w:r>
          </w:p>
        </w:tc>
        <w:tc>
          <w:tcPr>
            <w:tcW w:w="1433" w:type="dxa"/>
            <w:gridSpan w:val="4"/>
            <w:vMerge w:val="restart"/>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业务科室审核意见</w:t>
            </w:r>
          </w:p>
        </w:tc>
        <w:tc>
          <w:tcPr>
            <w:tcW w:w="2819" w:type="dxa"/>
            <w:gridSpan w:val="4"/>
            <w:tcBorders>
              <w:top w:val="single" w:color="000000" w:sz="4" w:space="0"/>
              <w:left w:val="nil"/>
              <w:bottom w:val="nil"/>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通过</w:t>
            </w:r>
          </w:p>
        </w:tc>
        <w:tc>
          <w:tcPr>
            <w:tcW w:w="2622"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559" w:hRule="atLeast"/>
        </w:trPr>
        <w:tc>
          <w:tcPr>
            <w:tcW w:w="1232" w:type="dxa"/>
            <w:gridSpan w:val="3"/>
            <w:vMerge w:val="continue"/>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jc w:val="left"/>
              <w:rPr>
                <w:rFonts w:hint="eastAsia" w:ascii="宋体" w:hAnsi="宋体" w:eastAsia="宋体" w:cs="宋体"/>
                <w:i w:val="0"/>
                <w:color w:val="auto"/>
                <w:sz w:val="18"/>
                <w:szCs w:val="18"/>
                <w:u w:val="none"/>
              </w:rPr>
            </w:pPr>
          </w:p>
        </w:tc>
        <w:tc>
          <w:tcPr>
            <w:tcW w:w="3974" w:type="dxa"/>
            <w:gridSpan w:val="5"/>
            <w:tcBorders>
              <w:top w:val="nil"/>
              <w:left w:val="nil"/>
              <w:bottom w:val="nil"/>
              <w:right w:val="single" w:color="000000" w:sz="4" w:space="0"/>
            </w:tcBorders>
            <w:shd w:val="clear" w:color="000000" w:fill="FFFFFF"/>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xml:space="preserve">申报单位：呼伦贝尔市自然资源局  </w:t>
            </w:r>
          </w:p>
        </w:tc>
        <w:tc>
          <w:tcPr>
            <w:tcW w:w="1433" w:type="dxa"/>
            <w:gridSpan w:val="4"/>
            <w:vMerge w:val="continue"/>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jc w:val="left"/>
              <w:rPr>
                <w:rFonts w:hint="eastAsia" w:ascii="宋体" w:hAnsi="宋体" w:eastAsia="宋体" w:cs="宋体"/>
                <w:i w:val="0"/>
                <w:color w:val="auto"/>
                <w:sz w:val="18"/>
                <w:szCs w:val="18"/>
                <w:u w:val="none"/>
              </w:rPr>
            </w:pPr>
          </w:p>
        </w:tc>
        <w:tc>
          <w:tcPr>
            <w:tcW w:w="2819" w:type="dxa"/>
            <w:gridSpan w:val="4"/>
            <w:tcBorders>
              <w:top w:val="nil"/>
              <w:left w:val="nil"/>
              <w:bottom w:val="nil"/>
              <w:right w:val="single" w:color="000000" w:sz="4" w:space="0"/>
            </w:tcBorders>
            <w:shd w:val="clear" w:color="000000" w:fill="FFFFFF"/>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xml:space="preserve">审核人：自然资源科  </w:t>
            </w:r>
          </w:p>
        </w:tc>
        <w:tc>
          <w:tcPr>
            <w:tcW w:w="2622"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559" w:hRule="atLeast"/>
        </w:trPr>
        <w:tc>
          <w:tcPr>
            <w:tcW w:w="1232" w:type="dxa"/>
            <w:gridSpan w:val="3"/>
            <w:vMerge w:val="continue"/>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jc w:val="left"/>
              <w:rPr>
                <w:rFonts w:hint="eastAsia" w:ascii="宋体" w:hAnsi="宋体" w:eastAsia="宋体" w:cs="宋体"/>
                <w:i w:val="0"/>
                <w:color w:val="auto"/>
                <w:sz w:val="18"/>
                <w:szCs w:val="18"/>
                <w:u w:val="none"/>
              </w:rPr>
            </w:pPr>
          </w:p>
        </w:tc>
        <w:tc>
          <w:tcPr>
            <w:tcW w:w="3974" w:type="dxa"/>
            <w:gridSpan w:val="5"/>
            <w:tcBorders>
              <w:top w:val="nil"/>
              <w:left w:val="nil"/>
              <w:bottom w:val="single" w:color="000000" w:sz="4" w:space="0"/>
              <w:right w:val="single" w:color="000000" w:sz="4" w:space="0"/>
            </w:tcBorders>
            <w:shd w:val="clear" w:color="000000" w:fill="FFFFFF"/>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单位签章：                                      2020  年   4月   1日</w:t>
            </w:r>
          </w:p>
        </w:tc>
        <w:tc>
          <w:tcPr>
            <w:tcW w:w="1433" w:type="dxa"/>
            <w:gridSpan w:val="4"/>
            <w:vMerge w:val="continue"/>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jc w:val="left"/>
              <w:rPr>
                <w:rFonts w:hint="eastAsia" w:ascii="宋体" w:hAnsi="宋体" w:eastAsia="宋体" w:cs="宋体"/>
                <w:i w:val="0"/>
                <w:color w:val="auto"/>
                <w:sz w:val="18"/>
                <w:szCs w:val="18"/>
                <w:u w:val="none"/>
              </w:rPr>
            </w:pPr>
          </w:p>
        </w:tc>
        <w:tc>
          <w:tcPr>
            <w:tcW w:w="2819" w:type="dxa"/>
            <w:gridSpan w:val="4"/>
            <w:tcBorders>
              <w:top w:val="nil"/>
              <w:left w:val="nil"/>
              <w:bottom w:val="single" w:color="000000" w:sz="4" w:space="0"/>
              <w:right w:val="single" w:color="000000" w:sz="4" w:space="0"/>
            </w:tcBorders>
            <w:shd w:val="clear" w:color="000000" w:fill="FFFFFF"/>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科室签章：                                     2020  年   4月   1日</w:t>
            </w:r>
          </w:p>
        </w:tc>
        <w:tc>
          <w:tcPr>
            <w:tcW w:w="2622"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1602" w:hRule="atLeast"/>
        </w:trPr>
        <w:tc>
          <w:tcPr>
            <w:tcW w:w="1232" w:type="dxa"/>
            <w:gridSpan w:val="3"/>
            <w:vMerge w:val="restart"/>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主管部门负责人</w:t>
            </w:r>
          </w:p>
        </w:tc>
        <w:tc>
          <w:tcPr>
            <w:tcW w:w="3974" w:type="dxa"/>
            <w:gridSpan w:val="5"/>
            <w:tcBorders>
              <w:top w:val="single" w:color="000000" w:sz="4" w:space="0"/>
              <w:left w:val="nil"/>
              <w:bottom w:val="nil"/>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w:t>
            </w:r>
          </w:p>
        </w:tc>
        <w:tc>
          <w:tcPr>
            <w:tcW w:w="1433" w:type="dxa"/>
            <w:gridSpan w:val="4"/>
            <w:vMerge w:val="restart"/>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财政绩效中心审核意见</w:t>
            </w:r>
          </w:p>
        </w:tc>
        <w:tc>
          <w:tcPr>
            <w:tcW w:w="2819" w:type="dxa"/>
            <w:gridSpan w:val="4"/>
            <w:tcBorders>
              <w:top w:val="single" w:color="000000" w:sz="4" w:space="0"/>
              <w:left w:val="nil"/>
              <w:bottom w:val="nil"/>
              <w:right w:val="single" w:color="000000" w:sz="4" w:space="0"/>
            </w:tcBorders>
            <w:shd w:val="clear" w:color="000000" w:fill="FFFFFF"/>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同意</w:t>
            </w:r>
          </w:p>
        </w:tc>
        <w:tc>
          <w:tcPr>
            <w:tcW w:w="2622"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559" w:hRule="atLeast"/>
        </w:trPr>
        <w:tc>
          <w:tcPr>
            <w:tcW w:w="1232" w:type="dxa"/>
            <w:gridSpan w:val="3"/>
            <w:vMerge w:val="continue"/>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jc w:val="left"/>
              <w:rPr>
                <w:rFonts w:hint="eastAsia" w:ascii="宋体" w:hAnsi="宋体" w:eastAsia="宋体" w:cs="宋体"/>
                <w:i w:val="0"/>
                <w:color w:val="auto"/>
                <w:sz w:val="18"/>
                <w:szCs w:val="18"/>
                <w:u w:val="none"/>
              </w:rPr>
            </w:pPr>
          </w:p>
        </w:tc>
        <w:tc>
          <w:tcPr>
            <w:tcW w:w="3974" w:type="dxa"/>
            <w:gridSpan w:val="5"/>
            <w:tcBorders>
              <w:top w:val="nil"/>
              <w:left w:val="nil"/>
              <w:bottom w:val="nil"/>
              <w:right w:val="single" w:color="000000" w:sz="4" w:space="0"/>
            </w:tcBorders>
            <w:shd w:val="clear" w:color="000000" w:fill="FFFFFF"/>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xml:space="preserve">审核人：            </w:t>
            </w:r>
          </w:p>
        </w:tc>
        <w:tc>
          <w:tcPr>
            <w:tcW w:w="1433" w:type="dxa"/>
            <w:gridSpan w:val="4"/>
            <w:vMerge w:val="continue"/>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jc w:val="left"/>
              <w:rPr>
                <w:rFonts w:hint="eastAsia" w:ascii="宋体" w:hAnsi="宋体" w:eastAsia="宋体" w:cs="宋体"/>
                <w:i w:val="0"/>
                <w:color w:val="auto"/>
                <w:sz w:val="18"/>
                <w:szCs w:val="18"/>
                <w:u w:val="none"/>
              </w:rPr>
            </w:pPr>
          </w:p>
        </w:tc>
        <w:tc>
          <w:tcPr>
            <w:tcW w:w="2819" w:type="dxa"/>
            <w:gridSpan w:val="4"/>
            <w:tcBorders>
              <w:top w:val="nil"/>
              <w:left w:val="nil"/>
              <w:bottom w:val="nil"/>
              <w:right w:val="single" w:color="000000" w:sz="4" w:space="0"/>
            </w:tcBorders>
            <w:shd w:val="clear" w:color="000000" w:fill="FFFFFF"/>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 xml:space="preserve">审核人：张秋萸  </w:t>
            </w:r>
          </w:p>
        </w:tc>
        <w:tc>
          <w:tcPr>
            <w:tcW w:w="2622"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559" w:hRule="atLeast"/>
        </w:trPr>
        <w:tc>
          <w:tcPr>
            <w:tcW w:w="1232" w:type="dxa"/>
            <w:gridSpan w:val="3"/>
            <w:vMerge w:val="continue"/>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jc w:val="left"/>
              <w:rPr>
                <w:rFonts w:hint="eastAsia" w:ascii="宋体" w:hAnsi="宋体" w:eastAsia="宋体" w:cs="宋体"/>
                <w:i w:val="0"/>
                <w:color w:val="auto"/>
                <w:sz w:val="18"/>
                <w:szCs w:val="18"/>
                <w:u w:val="none"/>
              </w:rPr>
            </w:pPr>
          </w:p>
        </w:tc>
        <w:tc>
          <w:tcPr>
            <w:tcW w:w="3974" w:type="dxa"/>
            <w:gridSpan w:val="5"/>
            <w:tcBorders>
              <w:top w:val="nil"/>
              <w:left w:val="nil"/>
              <w:bottom w:val="single" w:color="000000" w:sz="4" w:space="0"/>
              <w:right w:val="single" w:color="000000" w:sz="4" w:space="0"/>
            </w:tcBorders>
            <w:shd w:val="clear" w:color="000000" w:fill="FFFFFF"/>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单位签章：                                      年   月   日</w:t>
            </w:r>
          </w:p>
        </w:tc>
        <w:tc>
          <w:tcPr>
            <w:tcW w:w="1433" w:type="dxa"/>
            <w:gridSpan w:val="4"/>
            <w:vMerge w:val="continue"/>
            <w:tcBorders>
              <w:top w:val="single" w:color="000000" w:sz="4" w:space="0"/>
              <w:left w:val="single" w:color="000000" w:sz="4" w:space="0"/>
              <w:bottom w:val="single" w:color="000000" w:sz="4" w:space="0"/>
              <w:right w:val="single" w:color="000000" w:sz="4" w:space="0"/>
            </w:tcBorders>
            <w:shd w:val="clear" w:color="000000" w:fill="FFFFFF"/>
            <w:tcMar>
              <w:top w:w="15" w:type="dxa"/>
              <w:left w:w="15" w:type="dxa"/>
              <w:right w:w="15" w:type="dxa"/>
            </w:tcMar>
            <w:vAlign w:val="center"/>
          </w:tcPr>
          <w:p>
            <w:pPr>
              <w:jc w:val="left"/>
              <w:rPr>
                <w:rFonts w:hint="eastAsia" w:ascii="宋体" w:hAnsi="宋体" w:eastAsia="宋体" w:cs="宋体"/>
                <w:i w:val="0"/>
                <w:color w:val="auto"/>
                <w:sz w:val="18"/>
                <w:szCs w:val="18"/>
                <w:u w:val="none"/>
              </w:rPr>
            </w:pPr>
          </w:p>
        </w:tc>
        <w:tc>
          <w:tcPr>
            <w:tcW w:w="2819" w:type="dxa"/>
            <w:gridSpan w:val="4"/>
            <w:tcBorders>
              <w:top w:val="nil"/>
              <w:left w:val="nil"/>
              <w:bottom w:val="single" w:color="000000" w:sz="4" w:space="0"/>
              <w:right w:val="single" w:color="000000" w:sz="4" w:space="0"/>
            </w:tcBorders>
            <w:shd w:val="clear" w:color="000000" w:fill="FFFFFF"/>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科室签章：                                     2020  年   4月   1日</w:t>
            </w:r>
          </w:p>
        </w:tc>
        <w:tc>
          <w:tcPr>
            <w:tcW w:w="2622" w:type="dxa"/>
            <w:tcBorders>
              <w:top w:val="nil"/>
              <w:left w:val="nil"/>
              <w:bottom w:val="nil"/>
              <w:right w:val="nil"/>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4"/>
                <w:szCs w:val="24"/>
                <w:u w:val="none"/>
              </w:rPr>
            </w:pPr>
          </w:p>
        </w:tc>
      </w:tr>
    </w:tbl>
    <w:p>
      <w:pPr>
        <w:keepNext w:val="0"/>
        <w:keepLines w:val="0"/>
        <w:widowControl/>
        <w:suppressLineNumbers w:val="0"/>
        <w:adjustRightInd w:val="0"/>
        <w:snapToGrid w:val="0"/>
        <w:spacing w:before="0" w:beforeAutospacing="1" w:after="0" w:afterAutospacing="1" w:line="580" w:lineRule="exact"/>
        <w:ind w:right="0"/>
        <w:jc w:val="left"/>
        <w:rPr>
          <w:rFonts w:hint="default" w:ascii="仿宋_GB2312" w:hAnsi="Times New Roman" w:eastAsia="仿宋_GB2312" w:cs="仿宋_GB2312"/>
          <w:color w:val="auto"/>
          <w:kern w:val="0"/>
          <w:sz w:val="32"/>
          <w:szCs w:val="32"/>
          <w:lang w:val="en-US" w:eastAsia="zh-CN" w:bidi="ar"/>
        </w:rPr>
      </w:pPr>
    </w:p>
    <w:p>
      <w:pPr>
        <w:keepNext w:val="0"/>
        <w:keepLines w:val="0"/>
        <w:widowControl/>
        <w:suppressLineNumbers w:val="0"/>
        <w:adjustRightInd w:val="0"/>
        <w:snapToGrid w:val="0"/>
        <w:spacing w:before="0" w:beforeAutospacing="1" w:after="0" w:afterAutospacing="1" w:line="580" w:lineRule="exact"/>
        <w:ind w:left="0" w:right="0" w:firstLine="600"/>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四、其他重要事项的情况说明</w:t>
      </w:r>
    </w:p>
    <w:p>
      <w:pPr>
        <w:keepNext w:val="0"/>
        <w:keepLines w:val="0"/>
        <w:widowControl/>
        <w:suppressLineNumbers w:val="0"/>
        <w:adjustRightInd w:val="0"/>
        <w:snapToGrid w:val="0"/>
        <w:spacing w:before="0" w:beforeAutospacing="1" w:after="0" w:afterAutospacing="1" w:line="580" w:lineRule="exact"/>
        <w:ind w:left="0" w:right="0" w:firstLine="600"/>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（一）机关运行经费支出情况</w:t>
      </w:r>
    </w:p>
    <w:p>
      <w:pPr>
        <w:widowControl/>
        <w:adjustRightInd w:val="0"/>
        <w:snapToGrid w:val="0"/>
        <w:spacing w:before="100" w:beforeAutospacing="1" w:after="100" w:afterAutospacing="1" w:line="580" w:lineRule="exact"/>
        <w:ind w:firstLine="600"/>
        <w:jc w:val="left"/>
        <w:rPr>
          <w:rFonts w:hint="eastAsia" w:ascii="仿宋_GB2312" w:eastAsia="仿宋_GB2312" w:cs="仿宋_GB2312"/>
          <w:color w:val="auto"/>
          <w:kern w:val="0"/>
          <w:sz w:val="32"/>
          <w:szCs w:val="32"/>
        </w:rPr>
      </w:pPr>
      <w:r>
        <w:rPr>
          <w:rFonts w:hint="default" w:ascii="仿宋_GB2312" w:hAnsi="Times New Roman" w:eastAsia="仿宋_GB2312" w:cs="仿宋_GB2312"/>
          <w:color w:val="auto"/>
          <w:kern w:val="0"/>
          <w:sz w:val="32"/>
          <w:szCs w:val="32"/>
          <w:lang w:val="en-US" w:eastAsia="zh-CN" w:bidi="ar"/>
        </w:rPr>
        <w:t>本部门2019年度机关运行经费支出514.13万元，比2018年增加60.63万元，增长13.40%。主要原因是：</w:t>
      </w:r>
      <w:r>
        <w:rPr>
          <w:rFonts w:hint="eastAsia" w:ascii="仿宋_GB2312" w:hAnsi="Times New Roman" w:eastAsia="仿宋_GB2312" w:cs="仿宋_GB2312"/>
          <w:color w:val="auto"/>
          <w:kern w:val="0"/>
          <w:sz w:val="32"/>
          <w:szCs w:val="32"/>
          <w:lang w:val="en-US" w:eastAsia="zh-CN" w:bidi="ar"/>
        </w:rPr>
        <w:t>由于机构改革，与市规划局合并，单位职能增加，工作量加大，</w:t>
      </w:r>
      <w:r>
        <w:rPr>
          <w:rFonts w:hint="eastAsia" w:ascii="仿宋_GB2312" w:eastAsia="仿宋_GB2312" w:cs="仿宋_GB2312"/>
          <w:color w:val="auto"/>
          <w:kern w:val="0"/>
          <w:sz w:val="32"/>
          <w:szCs w:val="32"/>
        </w:rPr>
        <w:t>受工作性质决定，土地、矿产、测绘</w:t>
      </w:r>
      <w:r>
        <w:rPr>
          <w:rFonts w:hint="eastAsia" w:ascii="仿宋_GB2312" w:eastAsia="仿宋_GB2312" w:cs="仿宋_GB2312"/>
          <w:color w:val="auto"/>
          <w:kern w:val="0"/>
          <w:sz w:val="32"/>
          <w:szCs w:val="32"/>
          <w:lang w:eastAsia="zh-CN"/>
        </w:rPr>
        <w:t>、规划</w:t>
      </w:r>
      <w:r>
        <w:rPr>
          <w:rFonts w:hint="eastAsia" w:ascii="仿宋_GB2312" w:eastAsia="仿宋_GB2312" w:cs="仿宋_GB2312"/>
          <w:color w:val="auto"/>
          <w:kern w:val="0"/>
          <w:sz w:val="32"/>
          <w:szCs w:val="32"/>
        </w:rPr>
        <w:t>管理等大量工作需要到实地、跑现场。同时向上级争取矿业权设置、衔接价款、土地审批</w:t>
      </w:r>
      <w:r>
        <w:rPr>
          <w:rFonts w:hint="eastAsia" w:ascii="仿宋_GB2312" w:eastAsia="仿宋_GB2312" w:cs="仿宋_GB2312"/>
          <w:color w:val="auto"/>
          <w:kern w:val="0"/>
          <w:sz w:val="32"/>
          <w:szCs w:val="32"/>
          <w:lang w:eastAsia="zh-CN"/>
        </w:rPr>
        <w:t>等</w:t>
      </w:r>
      <w:r>
        <w:rPr>
          <w:rFonts w:hint="eastAsia" w:ascii="仿宋_GB2312" w:eastAsia="仿宋_GB2312" w:cs="仿宋_GB2312"/>
          <w:color w:val="auto"/>
          <w:kern w:val="0"/>
          <w:sz w:val="32"/>
          <w:szCs w:val="32"/>
        </w:rPr>
        <w:t>为重点项目落地配置资源洽谈等都需要大量费用支出。</w:t>
      </w:r>
    </w:p>
    <w:p>
      <w:pPr>
        <w:widowControl/>
        <w:adjustRightInd w:val="0"/>
        <w:snapToGrid w:val="0"/>
        <w:spacing w:before="100" w:beforeAutospacing="1" w:after="100" w:afterAutospacing="1" w:line="580" w:lineRule="exact"/>
        <w:ind w:firstLine="600"/>
        <w:jc w:val="left"/>
        <w:rPr>
          <w:rFonts w:hint="default" w:ascii="Times New Roman" w:hAnsi="Times New Roman" w:eastAsia="仿宋_GB2312" w:cs="Times New Roman"/>
          <w:color w:val="auto"/>
          <w:kern w:val="0"/>
          <w:sz w:val="32"/>
          <w:szCs w:val="32"/>
        </w:rPr>
      </w:pPr>
      <w:r>
        <w:rPr>
          <w:rFonts w:hint="default" w:ascii="仿宋_GB2312" w:hAnsi="宋体" w:eastAsia="仿宋_GB2312" w:cs="仿宋_GB2312"/>
          <w:color w:val="auto"/>
          <w:kern w:val="0"/>
          <w:sz w:val="32"/>
          <w:szCs w:val="32"/>
          <w:lang w:val="en-US" w:eastAsia="zh-CN" w:bidi="ar"/>
        </w:rPr>
        <w:t>（二）政府采购支出情况</w:t>
      </w:r>
    </w:p>
    <w:p>
      <w:pPr>
        <w:widowControl/>
        <w:adjustRightInd w:val="0"/>
        <w:snapToGrid w:val="0"/>
        <w:spacing w:before="100" w:beforeAutospacing="1" w:after="100" w:afterAutospacing="1" w:line="580" w:lineRule="exact"/>
        <w:ind w:firstLine="600"/>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本部门2019年度政府采购支出合计315.00万元，其中：政府采购货物支出75.45万元</w:t>
      </w:r>
      <w:r>
        <w:rPr>
          <w:rFonts w:hint="default" w:ascii="Times New Roman" w:hAnsi="Times New Roman" w:eastAsia="仿宋_GB2312" w:cs="Times New Roman"/>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比2018年</w:t>
      </w:r>
      <w:r>
        <w:rPr>
          <w:rFonts w:hint="eastAsia" w:ascii="仿宋_GB2312" w:hAnsi="Times New Roman" w:eastAsia="仿宋_GB2312" w:cs="仿宋_GB2312"/>
          <w:color w:val="auto"/>
          <w:kern w:val="0"/>
          <w:sz w:val="32"/>
          <w:szCs w:val="32"/>
          <w:lang w:val="en-US" w:eastAsia="zh-CN" w:bidi="ar"/>
        </w:rPr>
        <w:t>增加</w:t>
      </w:r>
      <w:r>
        <w:rPr>
          <w:rFonts w:hint="default" w:ascii="仿宋_GB2312" w:hAnsi="Times New Roman" w:eastAsia="仿宋_GB2312" w:cs="仿宋_GB2312"/>
          <w:color w:val="auto"/>
          <w:kern w:val="0"/>
          <w:sz w:val="32"/>
          <w:szCs w:val="32"/>
          <w:lang w:val="en-US" w:eastAsia="zh-CN" w:bidi="ar"/>
        </w:rPr>
        <w:t>37.57万元，增长99.20%，主要原因是：</w:t>
      </w:r>
      <w:r>
        <w:rPr>
          <w:rFonts w:hint="eastAsia" w:ascii="仿宋_GB2312" w:hAnsi="宋体" w:eastAsia="仿宋_GB2312" w:cs="仿宋_GB2312"/>
          <w:color w:val="auto"/>
          <w:kern w:val="0"/>
          <w:sz w:val="32"/>
          <w:szCs w:val="32"/>
        </w:rPr>
        <w:t>为了改善办公条件，购买办公设备</w:t>
      </w:r>
      <w:r>
        <w:rPr>
          <w:rFonts w:hint="eastAsia" w:ascii="仿宋_GB2312" w:eastAsia="仿宋_GB2312" w:cs="仿宋_GB2312"/>
          <w:color w:val="auto"/>
          <w:kern w:val="0"/>
          <w:sz w:val="32"/>
          <w:szCs w:val="32"/>
        </w:rPr>
        <w:t>；</w:t>
      </w:r>
      <w:r>
        <w:rPr>
          <w:rFonts w:hint="default" w:ascii="仿宋_GB2312" w:hAnsi="Times New Roman" w:eastAsia="仿宋_GB2312" w:cs="仿宋_GB2312"/>
          <w:color w:val="auto"/>
          <w:kern w:val="0"/>
          <w:sz w:val="32"/>
          <w:szCs w:val="32"/>
          <w:lang w:val="en-US" w:eastAsia="zh-CN" w:bidi="ar"/>
        </w:rPr>
        <w:t>政府采购工程支出0.00万元，比2018年增加（减少）0.00万元，增长（降低）0.00%，主要原因是：</w:t>
      </w:r>
      <w:r>
        <w:rPr>
          <w:rFonts w:hint="eastAsia" w:ascii="仿宋_GB2312" w:hAnsi="Times New Roman" w:eastAsia="仿宋_GB2312" w:cs="仿宋_GB2312"/>
          <w:color w:val="auto"/>
          <w:kern w:val="0"/>
          <w:sz w:val="32"/>
          <w:szCs w:val="32"/>
          <w:lang w:val="en-US" w:eastAsia="zh-CN" w:bidi="ar"/>
        </w:rPr>
        <w:t>未涉及政府采购工程支出</w:t>
      </w:r>
      <w:r>
        <w:rPr>
          <w:rFonts w:hint="default" w:ascii="仿宋_GB2312" w:hAnsi="Times New Roman" w:eastAsia="仿宋_GB2312" w:cs="仿宋_GB2312"/>
          <w:color w:val="auto"/>
          <w:kern w:val="0"/>
          <w:sz w:val="32"/>
          <w:szCs w:val="32"/>
          <w:lang w:val="en-US" w:eastAsia="zh-CN" w:bidi="ar"/>
        </w:rPr>
        <w:t>；政府采购服务支出239.55万元，比2018年减少138.60万元，降低36.70%，主要原因是</w:t>
      </w:r>
      <w:r>
        <w:rPr>
          <w:rFonts w:hint="eastAsia" w:ascii="仿宋_GB2312" w:eastAsia="仿宋_GB2312" w:cs="仿宋_GB2312"/>
          <w:color w:val="auto"/>
          <w:kern w:val="0"/>
          <w:sz w:val="32"/>
          <w:szCs w:val="32"/>
        </w:rPr>
        <w:t>项目</w:t>
      </w:r>
      <w:r>
        <w:rPr>
          <w:rFonts w:hint="eastAsia" w:ascii="仿宋_GB2312" w:eastAsia="仿宋_GB2312" w:cs="仿宋_GB2312"/>
          <w:color w:val="auto"/>
          <w:kern w:val="0"/>
          <w:sz w:val="32"/>
          <w:szCs w:val="32"/>
          <w:lang w:eastAsia="zh-CN"/>
        </w:rPr>
        <w:t>减少</w:t>
      </w:r>
      <w:r>
        <w:rPr>
          <w:rFonts w:hint="eastAsia" w:ascii="仿宋_GB2312" w:eastAsia="仿宋_GB2312" w:cs="仿宋_GB2312"/>
          <w:color w:val="auto"/>
          <w:kern w:val="0"/>
          <w:sz w:val="32"/>
          <w:szCs w:val="32"/>
        </w:rPr>
        <w:t>，因此政府采购服务支出比上年有所</w:t>
      </w:r>
      <w:r>
        <w:rPr>
          <w:rFonts w:hint="eastAsia" w:ascii="仿宋_GB2312" w:eastAsia="仿宋_GB2312" w:cs="仿宋_GB2312"/>
          <w:color w:val="auto"/>
          <w:kern w:val="0"/>
          <w:sz w:val="32"/>
          <w:szCs w:val="32"/>
          <w:lang w:eastAsia="zh-CN"/>
        </w:rPr>
        <w:t>降低</w:t>
      </w:r>
      <w:r>
        <w:rPr>
          <w:rFonts w:hint="eastAsia" w:ascii="仿宋_GB2312" w:eastAsia="仿宋_GB2312" w:cs="仿宋_GB2312"/>
          <w:color w:val="auto"/>
          <w:kern w:val="0"/>
          <w:sz w:val="32"/>
          <w:szCs w:val="32"/>
        </w:rPr>
        <w:t>。</w:t>
      </w:r>
      <w:r>
        <w:rPr>
          <w:rFonts w:hint="default" w:ascii="仿宋_GB2312" w:hAnsi="Times New Roman" w:eastAsia="仿宋_GB2312" w:cs="仿宋_GB2312"/>
          <w:color w:val="auto"/>
          <w:kern w:val="0"/>
          <w:sz w:val="32"/>
          <w:szCs w:val="32"/>
          <w:lang w:val="en-US" w:eastAsia="zh-CN" w:bidi="ar"/>
        </w:rPr>
        <w:t>授予中小企业合同金额305.89万元，占政府采购支出总额的</w:t>
      </w:r>
      <w:r>
        <w:rPr>
          <w:rFonts w:hint="eastAsia" w:ascii="仿宋_GB2312" w:hAnsi="Times New Roman" w:eastAsia="仿宋_GB2312" w:cs="仿宋_GB2312"/>
          <w:color w:val="auto"/>
          <w:kern w:val="0"/>
          <w:sz w:val="32"/>
          <w:szCs w:val="32"/>
          <w:lang w:val="en-US" w:eastAsia="zh-CN" w:bidi="ar"/>
        </w:rPr>
        <w:t>97</w:t>
      </w:r>
      <w:r>
        <w:rPr>
          <w:rFonts w:hint="default" w:ascii="仿宋_GB2312" w:hAnsi="Times New Roman" w:eastAsia="仿宋_GB2312" w:cs="仿宋_GB2312"/>
          <w:color w:val="auto"/>
          <w:kern w:val="0"/>
          <w:sz w:val="32"/>
          <w:szCs w:val="32"/>
          <w:lang w:val="en-US" w:eastAsia="zh-CN" w:bidi="ar"/>
        </w:rPr>
        <w:t>%。其中：授予小微企业合同金额305.89万元，占政府采购支出总额的</w:t>
      </w:r>
      <w:r>
        <w:rPr>
          <w:rFonts w:hint="eastAsia" w:ascii="仿宋_GB2312" w:hAnsi="Times New Roman" w:eastAsia="仿宋_GB2312" w:cs="仿宋_GB2312"/>
          <w:color w:val="auto"/>
          <w:kern w:val="0"/>
          <w:sz w:val="32"/>
          <w:szCs w:val="32"/>
          <w:lang w:val="en-US" w:eastAsia="zh-CN" w:bidi="ar"/>
        </w:rPr>
        <w:t>97</w:t>
      </w:r>
      <w:r>
        <w:rPr>
          <w:rFonts w:hint="default" w:ascii="仿宋_GB2312" w:hAnsi="Times New Roman" w:eastAsia="仿宋_GB2312" w:cs="仿宋_GB2312"/>
          <w:color w:val="auto"/>
          <w:kern w:val="0"/>
          <w:sz w:val="32"/>
          <w:szCs w:val="32"/>
          <w:lang w:val="en-US" w:eastAsia="zh-CN" w:bidi="ar"/>
        </w:rPr>
        <w:t>%。</w:t>
      </w:r>
    </w:p>
    <w:p>
      <w:pPr>
        <w:keepNext w:val="0"/>
        <w:keepLines w:val="0"/>
        <w:widowControl/>
        <w:suppressLineNumbers w:val="0"/>
        <w:adjustRightInd w:val="0"/>
        <w:snapToGrid w:val="0"/>
        <w:spacing w:before="0" w:beforeAutospacing="1" w:after="0" w:afterAutospacing="1" w:line="580" w:lineRule="exact"/>
        <w:ind w:left="0" w:right="0" w:firstLine="600"/>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（三）国有资产占用情况</w:t>
      </w:r>
    </w:p>
    <w:p>
      <w:pPr>
        <w:keepNext w:val="0"/>
        <w:keepLines w:val="0"/>
        <w:widowControl/>
        <w:suppressLineNumbers w:val="0"/>
        <w:adjustRightInd w:val="0"/>
        <w:snapToGrid w:val="0"/>
        <w:spacing w:before="0" w:beforeAutospacing="1" w:after="0" w:afterAutospacing="1" w:line="580" w:lineRule="exact"/>
        <w:ind w:left="0" w:right="0" w:firstLine="600"/>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截至2019年12月31日，本部门共有车辆21辆，其中，副部（省）级及以上领导用车0辆;主要领导干部用车0辆;机要通信用车3辆，主要用于：</w:t>
      </w:r>
      <w:r>
        <w:rPr>
          <w:rFonts w:hint="eastAsia" w:ascii="仿宋_GB2312" w:hAnsi="Times New Roman" w:eastAsia="仿宋_GB2312" w:cs="仿宋_GB2312"/>
          <w:color w:val="auto"/>
          <w:kern w:val="0"/>
          <w:sz w:val="32"/>
          <w:szCs w:val="32"/>
          <w:lang w:val="en-US" w:eastAsia="zh-CN" w:bidi="ar"/>
        </w:rPr>
        <w:t>单位正常的公务用车</w:t>
      </w:r>
      <w:r>
        <w:rPr>
          <w:rFonts w:hint="default" w:ascii="仿宋_GB2312" w:hAnsi="Times New Roman" w:eastAsia="仿宋_GB2312" w:cs="仿宋_GB2312"/>
          <w:color w:val="auto"/>
          <w:kern w:val="0"/>
          <w:sz w:val="32"/>
          <w:szCs w:val="32"/>
          <w:lang w:val="en-US" w:eastAsia="zh-CN" w:bidi="ar"/>
        </w:rPr>
        <w:t>;应急保障用车1辆，主要用于：</w:t>
      </w:r>
      <w:r>
        <w:rPr>
          <w:rFonts w:hint="eastAsia" w:ascii="仿宋_GB2312" w:hAnsi="Times New Roman" w:eastAsia="仿宋_GB2312" w:cs="仿宋_GB2312"/>
          <w:color w:val="auto"/>
          <w:kern w:val="0"/>
          <w:sz w:val="32"/>
          <w:szCs w:val="32"/>
          <w:lang w:val="en-US" w:eastAsia="zh-CN" w:bidi="ar"/>
        </w:rPr>
        <w:t>突发事项应急保障用车</w:t>
      </w:r>
      <w:r>
        <w:rPr>
          <w:rFonts w:hint="default" w:ascii="仿宋_GB2312" w:hAnsi="Times New Roman" w:eastAsia="仿宋_GB2312" w:cs="仿宋_GB2312"/>
          <w:color w:val="auto"/>
          <w:kern w:val="0"/>
          <w:sz w:val="32"/>
          <w:szCs w:val="32"/>
          <w:lang w:val="en-US" w:eastAsia="zh-CN" w:bidi="ar"/>
        </w:rPr>
        <w:t>;执法执勤用车12辆</w:t>
      </w:r>
      <w:r>
        <w:rPr>
          <w:rFonts w:hint="default" w:ascii="Times New Roman" w:hAnsi="Times New Roman" w:eastAsia="仿宋_GB2312" w:cs="Times New Roman"/>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主要用于：</w:t>
      </w:r>
      <w:r>
        <w:rPr>
          <w:rFonts w:hint="eastAsia" w:ascii="仿宋_GB2312" w:hAnsi="Times New Roman" w:eastAsia="仿宋_GB2312" w:cs="仿宋_GB2312"/>
          <w:color w:val="auto"/>
          <w:kern w:val="0"/>
          <w:sz w:val="32"/>
          <w:szCs w:val="32"/>
          <w:lang w:val="en-US" w:eastAsia="zh-CN" w:bidi="ar"/>
        </w:rPr>
        <w:t>监察执法执勤用车</w:t>
      </w:r>
      <w:r>
        <w:rPr>
          <w:rFonts w:hint="default" w:ascii="仿宋_GB2312" w:hAnsi="Times New Roman" w:eastAsia="仿宋_GB2312" w:cs="仿宋_GB2312"/>
          <w:color w:val="auto"/>
          <w:kern w:val="0"/>
          <w:sz w:val="32"/>
          <w:szCs w:val="32"/>
          <w:lang w:val="en-US" w:eastAsia="zh-CN" w:bidi="ar"/>
        </w:rPr>
        <w:t>；特种专业技术用车0辆；离退休干部用车0辆；其他用车5辆，主要是用于</w:t>
      </w:r>
      <w:r>
        <w:rPr>
          <w:rFonts w:hint="eastAsia" w:ascii="仿宋_GB2312" w:hAnsi="Times New Roman" w:eastAsia="仿宋_GB2312" w:cs="仿宋_GB2312"/>
          <w:color w:val="auto"/>
          <w:kern w:val="0"/>
          <w:sz w:val="32"/>
          <w:szCs w:val="32"/>
          <w:lang w:val="en-US" w:eastAsia="zh-CN" w:bidi="ar"/>
        </w:rPr>
        <w:t>单位临时应急用车；</w:t>
      </w:r>
      <w:r>
        <w:rPr>
          <w:rFonts w:hint="default" w:ascii="仿宋_GB2312" w:hAnsi="Times New Roman" w:eastAsia="仿宋_GB2312" w:cs="仿宋_GB2312"/>
          <w:color w:val="auto"/>
          <w:kern w:val="0"/>
          <w:sz w:val="32"/>
          <w:szCs w:val="32"/>
          <w:shd w:val="clear" w:color="auto" w:fill="auto"/>
          <w:lang w:val="en-US" w:eastAsia="zh-CN" w:bidi="ar"/>
        </w:rPr>
        <w:t>单位价值50万元以上通用设备1台（套），主要</w:t>
      </w:r>
      <w:r>
        <w:rPr>
          <w:rFonts w:hint="eastAsia" w:ascii="仿宋_GB2312" w:hAnsi="Times New Roman" w:eastAsia="仿宋_GB2312" w:cs="仿宋_GB2312"/>
          <w:color w:val="auto"/>
          <w:kern w:val="0"/>
          <w:sz w:val="32"/>
          <w:szCs w:val="32"/>
          <w:shd w:val="clear" w:color="auto" w:fill="auto"/>
          <w:lang w:val="en-US" w:eastAsia="zh-CN" w:bidi="ar"/>
        </w:rPr>
        <w:t>用于：机要通信用车；</w:t>
      </w:r>
      <w:r>
        <w:rPr>
          <w:rFonts w:hint="default" w:ascii="仿宋_GB2312" w:hAnsi="Times New Roman" w:eastAsia="仿宋_GB2312" w:cs="仿宋_GB2312"/>
          <w:color w:val="auto"/>
          <w:kern w:val="0"/>
          <w:sz w:val="32"/>
          <w:szCs w:val="32"/>
          <w:lang w:val="en-US" w:eastAsia="zh-CN" w:bidi="ar"/>
        </w:rPr>
        <w:t>比2018年增加1.00台，主要原因是</w:t>
      </w:r>
      <w:r>
        <w:rPr>
          <w:rFonts w:hint="eastAsia" w:ascii="仿宋_GB2312" w:hAnsi="Times New Roman" w:eastAsia="仿宋_GB2312" w:cs="仿宋_GB2312"/>
          <w:color w:val="auto"/>
          <w:kern w:val="0"/>
          <w:sz w:val="32"/>
          <w:szCs w:val="32"/>
          <w:lang w:val="en-US" w:eastAsia="zh-CN" w:bidi="ar"/>
        </w:rPr>
        <w:t>机构改革与原市规划局合并时并入车辆一辆</w:t>
      </w:r>
      <w:r>
        <w:rPr>
          <w:rFonts w:hint="default" w:ascii="仿宋_GB2312" w:hAnsi="Times New Roman" w:eastAsia="仿宋_GB2312" w:cs="仿宋_GB2312"/>
          <w:color w:val="auto"/>
          <w:kern w:val="0"/>
          <w:sz w:val="32"/>
          <w:szCs w:val="32"/>
          <w:lang w:val="en-US" w:eastAsia="zh-CN" w:bidi="ar"/>
        </w:rPr>
        <w:t>;单位价值100万元以上专用设备0台（套），比2018年增加（减少）0.00台（套）。</w:t>
      </w:r>
    </w:p>
    <w:p>
      <w:pPr>
        <w:keepNext w:val="0"/>
        <w:keepLines w:val="0"/>
        <w:widowControl/>
        <w:suppressLineNumbers w:val="0"/>
        <w:adjustRightInd w:val="0"/>
        <w:snapToGrid w:val="0"/>
        <w:spacing w:before="0" w:beforeAutospacing="1" w:after="0" w:afterAutospacing="1" w:line="580" w:lineRule="exact"/>
        <w:ind w:left="0" w:right="0" w:firstLine="600"/>
        <w:jc w:val="left"/>
        <w:rPr>
          <w:rFonts w:hint="default" w:ascii="Times New Roman" w:hAnsi="Times New Roman" w:eastAsia="仿宋_GB2312" w:cs="Times New Roman"/>
          <w:b/>
          <w:color w:val="auto"/>
          <w:kern w:val="0"/>
          <w:sz w:val="32"/>
          <w:szCs w:val="32"/>
        </w:rPr>
      </w:pPr>
      <w:r>
        <w:rPr>
          <w:rFonts w:hint="default" w:ascii="Times New Roman" w:hAnsi="Times New Roman" w:eastAsia="仿宋_GB2312" w:cs="Times New Roman"/>
          <w:color w:val="auto"/>
          <w:kern w:val="0"/>
          <w:sz w:val="32"/>
          <w:szCs w:val="32"/>
          <w:lang w:val="en-US" w:eastAsia="zh-CN" w:bidi="ar"/>
        </w:rPr>
        <w:t xml:space="preserve"> </w:t>
      </w:r>
      <w:r>
        <w:rPr>
          <w:rFonts w:hint="default" w:ascii="仿宋_GB2312" w:hAnsi="Times New Roman" w:eastAsia="仿宋_GB2312" w:cs="仿宋_GB2312"/>
          <w:b/>
          <w:color w:val="auto"/>
          <w:kern w:val="0"/>
          <w:sz w:val="32"/>
          <w:szCs w:val="32"/>
          <w:lang w:val="en-US" w:eastAsia="zh-CN" w:bidi="ar"/>
        </w:rPr>
        <w:t>第三部分 名词解释</w:t>
      </w:r>
    </w:p>
    <w:p>
      <w:pPr>
        <w:keepNext w:val="0"/>
        <w:keepLines w:val="0"/>
        <w:widowControl/>
        <w:suppressLineNumbers w:val="0"/>
        <w:adjustRightInd w:val="0"/>
        <w:snapToGrid w:val="0"/>
        <w:spacing w:before="0" w:beforeAutospacing="1" w:after="0" w:afterAutospacing="1" w:line="580" w:lineRule="exact"/>
        <w:ind w:left="0" w:right="0" w:firstLine="600"/>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（一）财政拨款收入：指本年度从本级财政部门取得的财政拨款，包括一般公共预算财政拨款和政府性基金预算财政拨款。</w:t>
      </w:r>
    </w:p>
    <w:p>
      <w:pPr>
        <w:keepNext w:val="0"/>
        <w:keepLines w:val="0"/>
        <w:widowControl/>
        <w:suppressLineNumbers w:val="0"/>
        <w:adjustRightInd w:val="0"/>
        <w:snapToGrid w:val="0"/>
        <w:spacing w:before="0" w:beforeAutospacing="1" w:after="0" w:afterAutospacing="1" w:line="580" w:lineRule="exact"/>
        <w:ind w:left="0" w:right="0" w:firstLine="600"/>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（二）事业收入：指事业单位开展专业业务活动及其辅助活动取得的收入；事业单位收到的财政专户实际核拨的教育收费等资金。</w:t>
      </w:r>
    </w:p>
    <w:p>
      <w:pPr>
        <w:keepNext w:val="0"/>
        <w:keepLines w:val="0"/>
        <w:widowControl/>
        <w:suppressLineNumbers w:val="0"/>
        <w:adjustRightInd w:val="0"/>
        <w:snapToGrid w:val="0"/>
        <w:spacing w:before="0" w:beforeAutospacing="1" w:after="0" w:afterAutospacing="1" w:line="580" w:lineRule="exact"/>
        <w:ind w:left="0" w:right="0" w:firstLine="600"/>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（三）经营收入：指事业单位在专业业务活动及其辅助活动之外开展非独立核算经营活动取得的收入。</w:t>
      </w:r>
    </w:p>
    <w:p>
      <w:pPr>
        <w:keepNext w:val="0"/>
        <w:keepLines w:val="0"/>
        <w:widowControl/>
        <w:suppressLineNumbers w:val="0"/>
        <w:adjustRightInd w:val="0"/>
        <w:snapToGrid w:val="0"/>
        <w:spacing w:before="0" w:beforeAutospacing="1" w:after="0" w:afterAutospacing="1" w:line="580" w:lineRule="exact"/>
        <w:ind w:left="0" w:right="0" w:firstLine="600"/>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四）其他收入：指单位取得的除上述收入以外的各项收入，包括未纳入财政预算的投资收益、银行存款利息收入、租金收入、捐赠收入、事业单位固定资产出租收入等。各单位从本级财政部门以外的同级单位取得的经费、从非本级财政部门取得的经费，以及行政单位收到的财政专户管理资金。</w:t>
      </w:r>
    </w:p>
    <w:p>
      <w:pPr>
        <w:keepNext w:val="0"/>
        <w:keepLines w:val="0"/>
        <w:widowControl/>
        <w:suppressLineNumbers w:val="0"/>
        <w:adjustRightInd w:val="0"/>
        <w:snapToGrid w:val="0"/>
        <w:spacing w:before="0" w:beforeAutospacing="1" w:after="0" w:afterAutospacing="1" w:line="580" w:lineRule="exact"/>
        <w:ind w:left="0" w:right="0" w:firstLine="600"/>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五）用事业基金弥补收支差额：指事业单位在当年的“财政拨款收入”、“财政拨款结转和结余资金”、“事业收入”、“事业单位经营收入”、“其他收入”不足以安排当年支出的情况下，使用以前年度累积的事业基金（当年收支相抵后按国家规定提取、用于弥补以后年度收支差额的基金）弥补本年收支缺口的资金。</w:t>
      </w:r>
    </w:p>
    <w:p>
      <w:pPr>
        <w:keepNext w:val="0"/>
        <w:keepLines w:val="0"/>
        <w:widowControl/>
        <w:suppressLineNumbers w:val="0"/>
        <w:adjustRightInd w:val="0"/>
        <w:snapToGrid w:val="0"/>
        <w:spacing w:before="0" w:beforeAutospacing="1" w:after="0" w:afterAutospacing="1" w:line="580" w:lineRule="exact"/>
        <w:ind w:left="0" w:right="0" w:firstLine="600"/>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（六）年初结转和结余：</w:t>
      </w:r>
      <w:r>
        <w:rPr>
          <w:rFonts w:hint="default" w:ascii="仿宋_GB2312" w:hAnsi="Times New Roman" w:eastAsia="仿宋_GB2312" w:cs="仿宋_GB2312"/>
          <w:color w:val="auto"/>
          <w:kern w:val="0"/>
          <w:sz w:val="32"/>
          <w:szCs w:val="32"/>
          <w:highlight w:val="white"/>
          <w:lang w:val="en-US" w:eastAsia="zh-CN" w:bidi="ar"/>
        </w:rPr>
        <w:t>指以前年度支出预算因客观条件变化未执行完毕、结转到本年度按有关规定继续使用的资金。</w:t>
      </w:r>
    </w:p>
    <w:p>
      <w:pPr>
        <w:keepNext w:val="0"/>
        <w:keepLines w:val="0"/>
        <w:widowControl/>
        <w:suppressLineNumbers w:val="0"/>
        <w:adjustRightInd w:val="0"/>
        <w:snapToGrid w:val="0"/>
        <w:spacing w:before="0" w:beforeAutospacing="1" w:after="0" w:afterAutospacing="1" w:line="580" w:lineRule="exact"/>
        <w:ind w:left="0" w:right="0" w:firstLine="600"/>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（七）结余分配</w:t>
      </w:r>
      <w:r>
        <w:rPr>
          <w:rFonts w:hint="default" w:ascii="仿宋_GB2312" w:hAnsi="Times New Roman" w:eastAsia="仿宋_GB2312" w:cs="仿宋_GB2312"/>
          <w:color w:val="auto"/>
          <w:kern w:val="0"/>
          <w:sz w:val="32"/>
          <w:szCs w:val="32"/>
          <w:highlight w:val="white"/>
          <w:lang w:val="en-US" w:eastAsia="zh-CN" w:bidi="ar"/>
        </w:rPr>
        <w:t>：指事业单位按照会计制度规定缴纳的所得税以及从非财政拨款结余中提取的职工福利基金、事业基金等。</w:t>
      </w:r>
    </w:p>
    <w:p>
      <w:pPr>
        <w:keepNext w:val="0"/>
        <w:keepLines w:val="0"/>
        <w:widowControl/>
        <w:suppressLineNumbers w:val="0"/>
        <w:adjustRightInd w:val="0"/>
        <w:snapToGrid w:val="0"/>
        <w:spacing w:before="0" w:beforeAutospacing="1" w:after="0" w:afterAutospacing="1" w:line="580" w:lineRule="exact"/>
        <w:ind w:left="0" w:right="0" w:firstLine="600"/>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（八）年末结转和结余</w:t>
      </w:r>
      <w:r>
        <w:rPr>
          <w:rFonts w:hint="default" w:ascii="仿宋_GB2312" w:hAnsi="Times New Roman" w:eastAsia="仿宋_GB2312" w:cs="仿宋_GB2312"/>
          <w:color w:val="auto"/>
          <w:kern w:val="0"/>
          <w:sz w:val="32"/>
          <w:szCs w:val="32"/>
          <w:highlight w:val="white"/>
          <w:lang w:val="en-US" w:eastAsia="zh-CN" w:bidi="ar"/>
        </w:rPr>
        <w:t>：指单位本年度或以前年度预算安排、因客观条件发生变化未全部执行或未执行，结转到以后年度继续使用的资金，或项目已完成等产生的结余资金。</w:t>
      </w:r>
    </w:p>
    <w:p>
      <w:pPr>
        <w:keepNext w:val="0"/>
        <w:keepLines w:val="0"/>
        <w:widowControl/>
        <w:suppressLineNumbers w:val="0"/>
        <w:adjustRightInd w:val="0"/>
        <w:snapToGrid w:val="0"/>
        <w:spacing w:before="0" w:beforeAutospacing="1" w:after="0" w:afterAutospacing="1" w:line="580" w:lineRule="exact"/>
        <w:ind w:left="0" w:right="0" w:firstLine="600"/>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（九）基本支出：指为保障机构正常运转、完成日常工作任务而发生的人员经费和公用经费。其中：人员经费指政府收支分类经济科目中的</w:t>
      </w:r>
      <w:r>
        <w:rPr>
          <w:rFonts w:hint="default" w:ascii="Times New Roman" w:hAnsi="Times New Roman" w:eastAsia="仿宋_GB2312" w:cs="Times New Roman"/>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工资福利支出</w:t>
      </w:r>
      <w:r>
        <w:rPr>
          <w:rFonts w:hint="default" w:ascii="Times New Roman" w:hAnsi="Times New Roman" w:eastAsia="仿宋_GB2312" w:cs="Times New Roman"/>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和</w:t>
      </w:r>
      <w:r>
        <w:rPr>
          <w:rFonts w:hint="default" w:ascii="Times New Roman" w:hAnsi="Times New Roman" w:eastAsia="仿宋_GB2312" w:cs="Times New Roman"/>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对个人和家庭的补助</w:t>
      </w:r>
      <w:r>
        <w:rPr>
          <w:rFonts w:hint="default" w:ascii="Times New Roman" w:hAnsi="Times New Roman" w:eastAsia="仿宋_GB2312" w:cs="Times New Roman"/>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；公用经费指政府收支分类经济科目中除</w:t>
      </w:r>
      <w:r>
        <w:rPr>
          <w:rFonts w:hint="default" w:ascii="Times New Roman" w:hAnsi="Times New Roman" w:eastAsia="仿宋_GB2312" w:cs="Times New Roman"/>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工资福利支出</w:t>
      </w:r>
      <w:r>
        <w:rPr>
          <w:rFonts w:hint="default" w:ascii="Times New Roman" w:hAnsi="Times New Roman" w:eastAsia="仿宋_GB2312" w:cs="Times New Roman"/>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和</w:t>
      </w:r>
      <w:r>
        <w:rPr>
          <w:rFonts w:hint="default" w:ascii="Times New Roman" w:hAnsi="Times New Roman" w:eastAsia="仿宋_GB2312" w:cs="Times New Roman"/>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对个人和家庭的补助</w:t>
      </w:r>
      <w:r>
        <w:rPr>
          <w:rFonts w:hint="default" w:ascii="Times New Roman" w:hAnsi="Times New Roman" w:eastAsia="仿宋_GB2312" w:cs="Times New Roman"/>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外的其他支出。</w:t>
      </w:r>
    </w:p>
    <w:p>
      <w:pPr>
        <w:keepNext w:val="0"/>
        <w:keepLines w:val="0"/>
        <w:widowControl/>
        <w:suppressLineNumbers w:val="0"/>
        <w:adjustRightInd w:val="0"/>
        <w:snapToGrid w:val="0"/>
        <w:spacing w:before="0" w:beforeAutospacing="1" w:after="0" w:afterAutospacing="1" w:line="580" w:lineRule="exact"/>
        <w:ind w:left="0" w:right="0" w:firstLine="600"/>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（十）项目支出：指在基本支出之外为完成特定任务和事业发展目标所发生的支出。</w:t>
      </w:r>
    </w:p>
    <w:p>
      <w:pPr>
        <w:keepNext w:val="0"/>
        <w:keepLines w:val="0"/>
        <w:widowControl/>
        <w:suppressLineNumbers w:val="0"/>
        <w:adjustRightInd w:val="0"/>
        <w:snapToGrid w:val="0"/>
        <w:spacing w:before="0" w:beforeAutospacing="1" w:after="0" w:afterAutospacing="1" w:line="580" w:lineRule="exact"/>
        <w:ind w:left="0" w:right="0" w:firstLine="600"/>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（十一）经营支出：指事业单位在专业业务活动及其辅助活动之外开展非独立核算经营活动发生的支出。</w:t>
      </w:r>
    </w:p>
    <w:p>
      <w:pPr>
        <w:keepNext w:val="0"/>
        <w:keepLines w:val="0"/>
        <w:widowControl/>
        <w:suppressLineNumbers w:val="0"/>
        <w:adjustRightInd w:val="0"/>
        <w:snapToGrid w:val="0"/>
        <w:spacing w:before="0" w:beforeAutospacing="1" w:after="0" w:afterAutospacing="1" w:line="580" w:lineRule="exact"/>
        <w:ind w:left="0" w:right="0" w:firstLine="600"/>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（十二）</w:t>
      </w:r>
      <w:r>
        <w:rPr>
          <w:rFonts w:hint="default" w:ascii="Times New Roman" w:hAnsi="Times New Roman" w:eastAsia="仿宋_GB2312" w:cs="Times New Roman"/>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三公</w:t>
      </w:r>
      <w:r>
        <w:rPr>
          <w:rFonts w:hint="default" w:ascii="Times New Roman" w:hAnsi="Times New Roman" w:eastAsia="仿宋_GB2312" w:cs="Times New Roman"/>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经费：指用财政拨款安排的因公出国（境）费、公务用车购置及运行维护费、公务接待费。其中，因公出国（境）费反映单位公务出国（境）的国际旅费、国外城市间交通费、住宿费、伙食费、培训费、公杂费等支出；公务用车购置费反映单位公务用车购置支出（含车辆购置税）；公务用车运行维护费反映单位按规定保留的公务用车燃料费、维修费、过路过桥费、保险费、安全奖励费用等支出；公务接待费反映单位按规定开支的各类公务接待（含外宾接待）支出。</w:t>
      </w:r>
    </w:p>
    <w:p>
      <w:pPr>
        <w:keepNext w:val="0"/>
        <w:keepLines w:val="0"/>
        <w:widowControl/>
        <w:suppressLineNumbers w:val="0"/>
        <w:adjustRightInd w:val="0"/>
        <w:snapToGrid w:val="0"/>
        <w:spacing w:before="0" w:beforeAutospacing="1" w:after="0" w:afterAutospacing="1" w:line="580" w:lineRule="exact"/>
        <w:ind w:left="0" w:right="0" w:firstLine="600"/>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十三）机关运行经费：指行政单位和参照公务员法管理的事业单位使用一般公共预算财政拨款安排的基本支出中的日常公用经费支出。未包含行政单位或参照公务员法管理事业单位的部门，参考此口径公开本部门的日常公用经费，并与预算公开保持一致。未包含行政单位或者参照公务员法管理事业单位的部门，参照此口径公开本部门的日常公用经费，并与预算公开保持一致。</w:t>
      </w:r>
    </w:p>
    <w:p>
      <w:pPr>
        <w:keepNext w:val="0"/>
        <w:keepLines w:val="0"/>
        <w:widowControl/>
        <w:suppressLineNumbers w:val="0"/>
        <w:adjustRightInd w:val="0"/>
        <w:snapToGrid w:val="0"/>
        <w:spacing w:before="0" w:beforeAutospacing="1" w:after="0" w:afterAutospacing="1" w:line="580" w:lineRule="exact"/>
        <w:ind w:left="0" w:right="0" w:firstLine="600"/>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（十四）工资福利支出（支出经济分类科目类级）：反映单位开支的在职职工和编制外长期聘用人员的各类劳动报酬，以及为上述人员缴纳的各项社会保险费等。</w:t>
      </w:r>
    </w:p>
    <w:p>
      <w:pPr>
        <w:keepNext w:val="0"/>
        <w:keepLines w:val="0"/>
        <w:widowControl/>
        <w:suppressLineNumbers w:val="0"/>
        <w:adjustRightInd w:val="0"/>
        <w:snapToGrid w:val="0"/>
        <w:spacing w:before="0" w:beforeAutospacing="1" w:after="0" w:afterAutospacing="1" w:line="580" w:lineRule="exact"/>
        <w:ind w:left="0" w:right="0" w:firstLine="600"/>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（十五）商品和服务支出（支出经济分类科目类级）：反映单位购买商品和服务的支出（不包括用于购置固定资产的支出、战略性和应急储备支出）。</w:t>
      </w:r>
    </w:p>
    <w:p>
      <w:pPr>
        <w:keepNext w:val="0"/>
        <w:keepLines w:val="0"/>
        <w:widowControl/>
        <w:suppressLineNumbers w:val="0"/>
        <w:adjustRightInd w:val="0"/>
        <w:snapToGrid w:val="0"/>
        <w:spacing w:before="0" w:beforeAutospacing="1" w:after="0" w:afterAutospacing="1" w:line="580" w:lineRule="exact"/>
        <w:ind w:left="0" w:right="0" w:firstLine="600"/>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（十六）对个人和家庭的补助（支出经济分类科目类级）：反映用于对个人和家庭的补助支出。</w:t>
      </w:r>
    </w:p>
    <w:p>
      <w:pPr>
        <w:keepNext w:val="0"/>
        <w:keepLines w:val="0"/>
        <w:widowControl/>
        <w:suppressLineNumbers w:val="0"/>
        <w:adjustRightInd w:val="0"/>
        <w:snapToGrid w:val="0"/>
        <w:spacing w:before="0" w:beforeAutospacing="1" w:after="0" w:afterAutospacing="1" w:line="580" w:lineRule="exact"/>
        <w:ind w:left="0" w:right="0" w:firstLine="600"/>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十七）资本性支出（支出经济分类科目类级）：反映非各级发展与改革部门集中安排的用于购置固定资产、战略性和应急性储备、土地和无形资产，以及构建基础设施、大型修缮和财政支持企业更新改造所发生的支出。</w:t>
      </w:r>
    </w:p>
    <w:p>
      <w:pPr>
        <w:keepNext w:val="0"/>
        <w:keepLines w:val="0"/>
        <w:widowControl/>
        <w:suppressLineNumbers w:val="0"/>
        <w:adjustRightInd w:val="0"/>
        <w:snapToGrid w:val="0"/>
        <w:spacing w:before="0" w:beforeAutospacing="1" w:after="0" w:afterAutospacing="1" w:line="580" w:lineRule="exact"/>
        <w:ind w:left="0" w:right="0" w:firstLine="600"/>
        <w:jc w:val="left"/>
        <w:rPr>
          <w:rFonts w:hint="default" w:ascii="Times New Roman" w:hAnsi="Times New Roman" w:eastAsia="仿宋_GB2312" w:cs="Times New Roman"/>
          <w:color w:val="auto"/>
          <w:kern w:val="0"/>
          <w:sz w:val="32"/>
          <w:szCs w:val="32"/>
        </w:rPr>
      </w:pPr>
      <w:r>
        <w:rPr>
          <w:rFonts w:hint="default" w:ascii="Times New Roman" w:hAnsi="Times New Roman" w:eastAsia="仿宋_GB2312" w:cs="Times New Roman"/>
          <w:color w:val="auto"/>
          <w:kern w:val="0"/>
          <w:sz w:val="32"/>
          <w:szCs w:val="32"/>
          <w:lang w:val="en-US" w:eastAsia="zh-CN" w:bidi="ar"/>
        </w:rPr>
        <w:t xml:space="preserve"> </w:t>
      </w:r>
    </w:p>
    <w:p>
      <w:pPr>
        <w:keepNext w:val="0"/>
        <w:keepLines w:val="0"/>
        <w:widowControl/>
        <w:suppressLineNumbers w:val="0"/>
        <w:adjustRightInd w:val="0"/>
        <w:snapToGrid w:val="0"/>
        <w:spacing w:before="0" w:beforeAutospacing="1" w:after="0" w:afterAutospacing="1" w:line="580" w:lineRule="exact"/>
        <w:ind w:left="0" w:right="0" w:firstLine="600"/>
        <w:jc w:val="left"/>
        <w:rPr>
          <w:rFonts w:hint="default" w:ascii="Times New Roman" w:hAnsi="Times New Roman" w:eastAsia="仿宋_GB2312" w:cs="Times New Roman"/>
          <w:b/>
          <w:color w:val="auto"/>
          <w:kern w:val="0"/>
          <w:sz w:val="32"/>
          <w:szCs w:val="32"/>
        </w:rPr>
      </w:pPr>
      <w:r>
        <w:rPr>
          <w:rFonts w:hint="default" w:ascii="仿宋_GB2312" w:hAnsi="Times New Roman" w:eastAsia="仿宋_GB2312" w:cs="仿宋_GB2312"/>
          <w:b/>
          <w:color w:val="auto"/>
          <w:kern w:val="0"/>
          <w:sz w:val="32"/>
          <w:szCs w:val="32"/>
          <w:lang w:val="en-US" w:eastAsia="zh-CN" w:bidi="ar"/>
        </w:rPr>
        <w:t>第四部分 决算公开联系方式及信息反馈渠道</w:t>
      </w:r>
    </w:p>
    <w:p>
      <w:pPr>
        <w:keepNext w:val="0"/>
        <w:keepLines w:val="0"/>
        <w:widowControl/>
        <w:suppressLineNumbers w:val="0"/>
        <w:adjustRightInd w:val="0"/>
        <w:snapToGrid w:val="0"/>
        <w:spacing w:before="0" w:beforeAutospacing="1" w:after="0" w:afterAutospacing="1" w:line="580" w:lineRule="exact"/>
        <w:ind w:left="0" w:right="0" w:firstLine="600"/>
        <w:jc w:val="left"/>
        <w:rPr>
          <w:rFonts w:hint="default" w:ascii="Times New Roman" w:hAnsi="Times New Roman" w:eastAsia="仿宋_GB2312" w:cs="Times New Roman"/>
          <w:color w:val="auto"/>
          <w:kern w:val="0"/>
          <w:sz w:val="32"/>
          <w:szCs w:val="32"/>
        </w:rPr>
      </w:pPr>
      <w:r>
        <w:rPr>
          <w:rFonts w:hint="default" w:ascii="仿宋_GB2312" w:hAnsi="Times New Roman" w:eastAsia="仿宋_GB2312" w:cs="仿宋_GB2312"/>
          <w:color w:val="auto"/>
          <w:kern w:val="0"/>
          <w:sz w:val="32"/>
          <w:szCs w:val="32"/>
          <w:lang w:val="en-US" w:eastAsia="zh-CN" w:bidi="ar"/>
        </w:rPr>
        <w:t>本单位决算公开信息反馈和联系方式：</w:t>
      </w:r>
    </w:p>
    <w:p>
      <w:pPr>
        <w:keepNext w:val="0"/>
        <w:keepLines w:val="0"/>
        <w:widowControl/>
        <w:suppressLineNumbers w:val="0"/>
        <w:adjustRightInd w:val="0"/>
        <w:snapToGrid w:val="0"/>
        <w:spacing w:before="0" w:beforeAutospacing="1" w:after="0" w:afterAutospacing="1" w:line="580" w:lineRule="exact"/>
        <w:ind w:left="0" w:right="0" w:firstLine="600"/>
        <w:jc w:val="left"/>
        <w:rPr>
          <w:rFonts w:hint="default" w:ascii="Times New Roman" w:hAnsi="Times New Roman" w:eastAsia="仿宋_GB2312" w:cs="Times New Roman"/>
          <w:color w:val="auto"/>
          <w:kern w:val="0"/>
          <w:sz w:val="18"/>
          <w:szCs w:val="18"/>
        </w:rPr>
      </w:pPr>
      <w:r>
        <w:rPr>
          <w:rFonts w:hint="default" w:ascii="仿宋_GB2312" w:hAnsi="Times New Roman" w:eastAsia="仿宋_GB2312" w:cs="仿宋_GB2312"/>
          <w:color w:val="auto"/>
          <w:kern w:val="0"/>
          <w:sz w:val="32"/>
          <w:szCs w:val="32"/>
          <w:lang w:val="en-US" w:eastAsia="zh-CN" w:bidi="ar"/>
        </w:rPr>
        <w:t>联系人：</w:t>
      </w:r>
      <w:r>
        <w:rPr>
          <w:rFonts w:hint="eastAsia" w:ascii="仿宋_GB2312" w:hAnsi="Times New Roman" w:eastAsia="仿宋_GB2312" w:cs="仿宋_GB2312"/>
          <w:color w:val="auto"/>
          <w:kern w:val="0"/>
          <w:sz w:val="32"/>
          <w:szCs w:val="32"/>
          <w:lang w:val="en-US" w:eastAsia="zh-CN" w:bidi="ar"/>
        </w:rPr>
        <w:t>郭盛楠</w:t>
      </w:r>
      <w:r>
        <w:rPr>
          <w:rFonts w:hint="default" w:ascii="仿宋_GB2312" w:hAnsi="Times New Roman" w:eastAsia="仿宋_GB2312" w:cs="仿宋_GB2312"/>
          <w:color w:val="auto"/>
          <w:kern w:val="0"/>
          <w:sz w:val="32"/>
          <w:szCs w:val="32"/>
          <w:lang w:val="en-US" w:eastAsia="zh-CN" w:bidi="ar"/>
        </w:rPr>
        <w:t xml:space="preserve">    联系电话：</w:t>
      </w:r>
      <w:r>
        <w:rPr>
          <w:rFonts w:hint="eastAsia" w:ascii="仿宋_GB2312" w:hAnsi="Times New Roman" w:eastAsia="仿宋_GB2312" w:cs="仿宋_GB2312"/>
          <w:color w:val="auto"/>
          <w:kern w:val="0"/>
          <w:sz w:val="32"/>
          <w:szCs w:val="32"/>
          <w:lang w:val="en-US" w:eastAsia="zh-CN" w:bidi="ar"/>
        </w:rPr>
        <w:t>0470</w:t>
      </w:r>
      <w:r>
        <w:rPr>
          <w:rFonts w:hint="default" w:ascii="Times New Roman" w:hAnsi="Times New Roman" w:eastAsia="仿宋_GB2312" w:cs="Times New Roman"/>
          <w:color w:val="auto"/>
          <w:kern w:val="0"/>
          <w:sz w:val="32"/>
          <w:szCs w:val="32"/>
          <w:lang w:val="en-US" w:eastAsia="zh-CN" w:bidi="ar"/>
        </w:rPr>
        <w:t>-</w:t>
      </w:r>
      <w:r>
        <w:rPr>
          <w:rFonts w:hint="default" w:ascii="仿宋_GB2312" w:hAnsi="Times New Roman" w:eastAsia="仿宋_GB2312" w:cs="仿宋_GB2312"/>
          <w:color w:val="auto"/>
          <w:kern w:val="0"/>
          <w:sz w:val="32"/>
          <w:szCs w:val="32"/>
          <w:lang w:val="en-US" w:eastAsia="zh-CN" w:bidi="ar"/>
        </w:rPr>
        <w:t>3101099</w:t>
      </w:r>
    </w:p>
    <w:p>
      <w:pPr>
        <w:keepNext w:val="0"/>
        <w:keepLines w:val="0"/>
        <w:widowControl/>
        <w:suppressLineNumbers w:val="0"/>
        <w:adjustRightInd w:val="0"/>
        <w:snapToGrid w:val="0"/>
        <w:spacing w:before="0" w:beforeAutospacing="1" w:after="0" w:afterAutospacing="1"/>
        <w:ind w:left="0" w:right="0"/>
        <w:jc w:val="left"/>
        <w:rPr>
          <w:rFonts w:hint="default" w:ascii="Times New Roman" w:hAnsi="Times New Roman" w:eastAsia="仿宋_GB2312" w:cs="Times New Roman"/>
          <w:b/>
          <w:kern w:val="0"/>
          <w:sz w:val="36"/>
          <w:szCs w:val="36"/>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auto"/>
    <w:pitch w:val="default"/>
    <w:sig w:usb0="00000001" w:usb1="080E0000" w:usb2="00000000" w:usb3="00000000" w:csb0="00040000" w:csb1="00000000"/>
  </w:font>
  <w:font w:name="楷体">
    <w:altName w:val="方正楷体_GBK"/>
    <w:panose1 w:val="02010609060101010101"/>
    <w:charset w:val="86"/>
    <w:family w:val="auto"/>
    <w:pitch w:val="default"/>
    <w:sig w:usb0="00000000" w:usb1="00000000" w:usb2="00000016" w:usb3="00000000" w:csb0="00040001" w:csb1="00000000"/>
  </w:font>
  <w:font w:name="monospace">
    <w:altName w:val="URW Bookman"/>
    <w:panose1 w:val="00000000000000000000"/>
    <w:charset w:val="00"/>
    <w:family w:val="auto"/>
    <w:pitch w:val="default"/>
    <w:sig w:usb0="00000000" w:usb1="00000000" w:usb2="00000000" w:usb3="00000000" w:csb0="0000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楷体_GBK">
    <w:panose1 w:val="02000000000000000000"/>
    <w:charset w:val="86"/>
    <w:family w:val="auto"/>
    <w:pitch w:val="default"/>
    <w:sig w:usb0="00000001" w:usb1="08000000" w:usb2="00000000" w:usb3="00000000" w:csb0="00040000" w:csb1="00000000"/>
  </w:font>
  <w:font w:name="Microsoft YaHei">
    <w:altName w:val="黑体"/>
    <w:panose1 w:val="00000000000000000000"/>
    <w:charset w:val="00"/>
    <w:family w:val="auto"/>
    <w:pitch w:val="default"/>
    <w:sig w:usb0="00000000" w:usb1="00000000" w:usb2="00000000" w:usb3="00000000" w:csb0="00000000" w:csb1="00000000"/>
  </w:font>
  <w:font w:name="Tahoma">
    <w:altName w:val="DejaVu Sans"/>
    <w:panose1 w:val="00000000000000000000"/>
    <w:charset w:val="00"/>
    <w:family w:val="auto"/>
    <w:pitch w:val="default"/>
    <w:sig w:usb0="00000000" w:usb1="00000000" w:usb2="00000000" w:usb3="00000000" w:csb0="00000000" w:csb1="00000000"/>
  </w:font>
  <w:font w:name="URW Bookman">
    <w:panose1 w:val="00000400000000000000"/>
    <w:charset w:val="00"/>
    <w:family w:val="auto"/>
    <w:pitch w:val="default"/>
    <w:sig w:usb0="00000287" w:usb1="00000800" w:usb2="00000000" w:usb3="00000000" w:csb0="6000009F" w:csb1="00000000"/>
  </w:font>
  <w:font w:name="方正宋体S-超大字符集">
    <w:panose1 w:val="02000000000000000000"/>
    <w:charset w:val="86"/>
    <w:family w:val="auto"/>
    <w:pitch w:val="default"/>
    <w:sig w:usb0="00000001" w:usb1="08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4FC6F9"/>
    <w:multiLevelType w:val="singleLevel"/>
    <w:tmpl w:val="B34FC6F9"/>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5D3CE7"/>
    <w:rsid w:val="007F781A"/>
    <w:rsid w:val="010A1EB1"/>
    <w:rsid w:val="080046F7"/>
    <w:rsid w:val="08135475"/>
    <w:rsid w:val="083E7EFC"/>
    <w:rsid w:val="08B3627F"/>
    <w:rsid w:val="09A43F65"/>
    <w:rsid w:val="0DEB7938"/>
    <w:rsid w:val="0E153DE0"/>
    <w:rsid w:val="103E4940"/>
    <w:rsid w:val="177848FD"/>
    <w:rsid w:val="1A4A4932"/>
    <w:rsid w:val="23130E1E"/>
    <w:rsid w:val="27235B40"/>
    <w:rsid w:val="284C42AE"/>
    <w:rsid w:val="2C79099D"/>
    <w:rsid w:val="2C934A5D"/>
    <w:rsid w:val="2DCA03A9"/>
    <w:rsid w:val="2EA742DE"/>
    <w:rsid w:val="31121162"/>
    <w:rsid w:val="35557436"/>
    <w:rsid w:val="38BD2475"/>
    <w:rsid w:val="3F6D7E73"/>
    <w:rsid w:val="40AF5CD4"/>
    <w:rsid w:val="433E44AA"/>
    <w:rsid w:val="492863E3"/>
    <w:rsid w:val="49B865BA"/>
    <w:rsid w:val="4A145453"/>
    <w:rsid w:val="4F806FF3"/>
    <w:rsid w:val="52CB0629"/>
    <w:rsid w:val="540A0F89"/>
    <w:rsid w:val="551F5ACB"/>
    <w:rsid w:val="55561C5A"/>
    <w:rsid w:val="559C340A"/>
    <w:rsid w:val="589902F3"/>
    <w:rsid w:val="62557D81"/>
    <w:rsid w:val="64BF7D0D"/>
    <w:rsid w:val="665D3CE7"/>
    <w:rsid w:val="6B275C21"/>
    <w:rsid w:val="6D673C93"/>
    <w:rsid w:val="6F6E5E30"/>
    <w:rsid w:val="6F746328"/>
    <w:rsid w:val="720D1EBE"/>
    <w:rsid w:val="75663B91"/>
    <w:rsid w:val="78DA69D9"/>
    <w:rsid w:val="7922668C"/>
    <w:rsid w:val="79AF40E4"/>
    <w:rsid w:val="7DF976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customStyle="1" w:styleId="6">
    <w:name w:val="10"/>
    <w:basedOn w:val="5"/>
    <w:qFormat/>
    <w:uiPriority w:val="0"/>
    <w:rPr>
      <w:rFonts w:hint="default" w:ascii="Times New Roman" w:hAnsi="Times New Roman" w:cs="Times New Roma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Office_11.8.2.10422_F1E327BC-269C-435d-A152-05C5408002CA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2020-09-01T16:58:00Z</dcterms:created>
  <dc:creator>Administrator</dc:creator>
  <cp:lastModifiedBy>kylin</cp:lastModifiedBy>
  <dcterms:modified xsi:type="dcterms:W3CDTF">2025-06-25T11:12:01Z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2052-11.8.2.10422</vt:lpwstr>
  </property>
</Properties>
</file>