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89" w:lineRule="exact"/>
        <w:jc w:val="center"/>
        <w:rPr>
          <w:rFonts w:hint="eastAsia" w:ascii="方正小标宋简体" w:hAnsi="方正小标宋简体" w:eastAsia="方正小标宋简体" w:cs="方正小标宋简体"/>
          <w:b w:val="0"/>
          <w:sz w:val="44"/>
        </w:rPr>
      </w:pPr>
      <w:r>
        <w:rPr>
          <w:rFonts w:hint="eastAsia" w:ascii="方正小标宋简体" w:hAnsi="方正小标宋简体" w:eastAsia="方正小标宋简体" w:cs="方正小标宋简体"/>
          <w:b w:val="0"/>
          <w:sz w:val="44"/>
        </w:rPr>
        <w:t>关于《呼伦贝尔市推进教育高质量</w:t>
      </w:r>
    </w:p>
    <w:p>
      <w:pPr>
        <w:spacing w:line="589" w:lineRule="exact"/>
        <w:jc w:val="center"/>
        <w:rPr>
          <w:rFonts w:hint="eastAsia" w:ascii="方正小标宋简体" w:hAnsi="方正小标宋简体" w:eastAsia="方正小标宋简体" w:cs="方正小标宋简体"/>
          <w:b w:val="0"/>
          <w:sz w:val="44"/>
        </w:rPr>
      </w:pPr>
      <w:r>
        <w:rPr>
          <w:rFonts w:hint="eastAsia" w:ascii="方正小标宋简体" w:hAnsi="方正小标宋简体" w:eastAsia="方正小标宋简体" w:cs="方正小标宋简体"/>
          <w:b w:val="0"/>
          <w:sz w:val="44"/>
        </w:rPr>
        <w:t>发展若干措施（征求意见稿）》的</w:t>
      </w:r>
      <w:r>
        <w:rPr>
          <w:rFonts w:hint="eastAsia" w:ascii="方正小标宋简体" w:hAnsi="方正小标宋简体" w:eastAsia="方正小标宋简体" w:cs="方正小标宋简体"/>
          <w:b w:val="0"/>
          <w:sz w:val="44"/>
          <w:lang w:val="en-US" w:eastAsia="zh-CN"/>
        </w:rPr>
        <w:t>起草</w:t>
      </w:r>
      <w:r>
        <w:rPr>
          <w:rFonts w:hint="eastAsia" w:ascii="方正小标宋简体" w:hAnsi="方正小标宋简体" w:eastAsia="方正小标宋简体" w:cs="方正小标宋简体"/>
          <w:b w:val="0"/>
          <w:sz w:val="44"/>
        </w:rPr>
        <w:t>说明</w:t>
      </w:r>
    </w:p>
    <w:p>
      <w:pPr>
        <w:widowControl w:val="0"/>
        <w:numPr>
          <w:ilvl w:val="0"/>
          <w:numId w:val="0"/>
        </w:numPr>
        <w:kinsoku/>
        <w:overflowPunct w:val="0"/>
        <w:snapToGrid/>
        <w:spacing w:line="589" w:lineRule="exact"/>
        <w:ind w:firstLine="632" w:firstLineChars="200"/>
        <w:jc w:val="both"/>
        <w:rPr>
          <w:rFonts w:hint="eastAsia" w:ascii="仿宋_GB2312" w:hAnsi="仿宋_GB2312" w:eastAsia="仿宋_GB2312" w:cs="仿宋_GB2312"/>
          <w:snapToGrid w:val="0"/>
          <w:kern w:val="2"/>
          <w:sz w:val="32"/>
          <w:szCs w:val="24"/>
          <w:lang w:val="en-US" w:eastAsia="zh-CN" w:bidi="ar-SA"/>
        </w:rPr>
      </w:pPr>
    </w:p>
    <w:p>
      <w:pPr>
        <w:spacing w:line="589" w:lineRule="exact"/>
        <w:ind w:firstLine="632" w:firstLineChars="200"/>
        <w:jc w:val="both"/>
        <w:outlineLvl w:val="0"/>
        <w:rPr>
          <w:rFonts w:hint="eastAsia" w:ascii="黑体" w:hAnsi="黑体" w:eastAsia="黑体" w:cs="黑体"/>
          <w:b w:val="0"/>
          <w:sz w:val="32"/>
          <w:lang w:val="en-US" w:eastAsia="zh-CN"/>
        </w:rPr>
      </w:pPr>
      <w:r>
        <w:rPr>
          <w:rFonts w:hint="eastAsia" w:ascii="黑体" w:hAnsi="黑体" w:eastAsia="黑体" w:cs="黑体"/>
          <w:b w:val="0"/>
          <w:sz w:val="32"/>
          <w:lang w:val="en-US" w:eastAsia="zh-CN"/>
        </w:rPr>
        <w:t>一、起草背景</w:t>
      </w:r>
      <w:bookmarkStart w:id="0" w:name="_GoBack"/>
      <w:bookmarkEnd w:id="0"/>
    </w:p>
    <w:p>
      <w:pPr>
        <w:widowControl w:val="0"/>
        <w:numPr>
          <w:ilvl w:val="0"/>
          <w:numId w:val="0"/>
        </w:numPr>
        <w:kinsoku/>
        <w:overflowPunct w:val="0"/>
        <w:snapToGrid/>
        <w:spacing w:line="589" w:lineRule="exact"/>
        <w:ind w:firstLine="632" w:firstLineChars="200"/>
        <w:jc w:val="both"/>
        <w:rPr>
          <w:rFonts w:hint="eastAsia" w:ascii="仿宋_GB2312" w:hAnsi="仿宋_GB2312" w:eastAsia="仿宋_GB2312" w:cs="仿宋_GB2312"/>
          <w:snapToGrid w:val="0"/>
          <w:kern w:val="2"/>
          <w:sz w:val="32"/>
          <w:szCs w:val="24"/>
          <w:lang w:val="en-US" w:eastAsia="zh-CN" w:bidi="ar-SA"/>
        </w:rPr>
      </w:pPr>
      <w:r>
        <w:rPr>
          <w:rFonts w:hint="eastAsia" w:ascii="仿宋_GB2312" w:hAnsi="仿宋_GB2312" w:eastAsia="仿宋_GB2312" w:cs="仿宋_GB2312"/>
          <w:snapToGrid w:val="0"/>
          <w:kern w:val="2"/>
          <w:sz w:val="32"/>
          <w:szCs w:val="24"/>
          <w:lang w:val="en-US" w:eastAsia="zh-CN" w:bidi="ar-SA"/>
        </w:rPr>
        <w:t>市委、市政府将贯彻落实全国教育大会、全区教育工作会议精神工作摆在重要突出位置，全面对标对表习近平总书记关于教育的重要论述和对内蒙古的重要指示精神，围绕实施“教育强市”战略、推进呼伦贝尔市教育事业高质量发展，紧扣“更加突出重视教育、更加突出激励教师、更加突出教育改革”，呼伦贝尔市教育局组织起草了《呼伦贝尔市推进教育高质量发展若干措施》（以下简称《措施》）。</w:t>
      </w:r>
    </w:p>
    <w:p>
      <w:pPr>
        <w:spacing w:line="589" w:lineRule="exact"/>
        <w:ind w:firstLine="632" w:firstLineChars="200"/>
        <w:jc w:val="both"/>
        <w:outlineLvl w:val="0"/>
        <w:rPr>
          <w:rFonts w:hint="eastAsia" w:ascii="黑体" w:hAnsi="黑体" w:eastAsia="黑体" w:cs="黑体"/>
          <w:b w:val="0"/>
          <w:sz w:val="32"/>
          <w:lang w:val="en-US" w:eastAsia="zh-CN"/>
        </w:rPr>
      </w:pPr>
      <w:r>
        <w:rPr>
          <w:rFonts w:hint="eastAsia" w:ascii="黑体" w:hAnsi="黑体" w:eastAsia="黑体" w:cs="黑体"/>
          <w:b w:val="0"/>
          <w:sz w:val="32"/>
          <w:lang w:val="en-US" w:eastAsia="zh-CN"/>
        </w:rPr>
        <w:t>二、起草过程</w:t>
      </w:r>
    </w:p>
    <w:p>
      <w:pPr>
        <w:widowControl w:val="0"/>
        <w:numPr>
          <w:ilvl w:val="0"/>
          <w:numId w:val="0"/>
        </w:numPr>
        <w:kinsoku/>
        <w:overflowPunct w:val="0"/>
        <w:snapToGrid/>
        <w:spacing w:line="589" w:lineRule="exact"/>
        <w:ind w:firstLine="632" w:firstLineChars="200"/>
        <w:jc w:val="both"/>
        <w:rPr>
          <w:rFonts w:hint="default" w:ascii="仿宋_GB2312" w:hAnsi="仿宋_GB2312" w:eastAsia="仿宋_GB2312" w:cs="仿宋_GB2312"/>
          <w:snapToGrid w:val="0"/>
          <w:kern w:val="2"/>
          <w:sz w:val="32"/>
          <w:szCs w:val="24"/>
          <w:lang w:val="en-US" w:eastAsia="zh-CN" w:bidi="ar-SA"/>
        </w:rPr>
      </w:pPr>
      <w:r>
        <w:rPr>
          <w:rFonts w:hint="eastAsia" w:ascii="仿宋_GB2312" w:hAnsi="仿宋_GB2312" w:eastAsia="仿宋_GB2312" w:cs="仿宋_GB2312"/>
          <w:snapToGrid w:val="0"/>
          <w:kern w:val="2"/>
          <w:sz w:val="32"/>
          <w:szCs w:val="24"/>
          <w:lang w:val="en-US" w:eastAsia="zh-CN" w:bidi="ar-SA"/>
        </w:rPr>
        <w:t>《措施》起草结合我市教育发展现状，多次深入一线开展调查研究。起草过程中，得到了各相关部门的大力支持。初稿形成后，向相关部门单位进行意见征集，经过反复修改完善，完成《措施》起草工作。</w:t>
      </w:r>
    </w:p>
    <w:p>
      <w:pPr>
        <w:spacing w:line="589" w:lineRule="exact"/>
        <w:ind w:firstLine="632" w:firstLineChars="200"/>
        <w:jc w:val="both"/>
        <w:outlineLvl w:val="0"/>
        <w:rPr>
          <w:rFonts w:hint="eastAsia" w:ascii="黑体" w:hAnsi="黑体" w:eastAsia="黑体" w:cs="黑体"/>
          <w:b w:val="0"/>
          <w:sz w:val="32"/>
          <w:lang w:val="en-US" w:eastAsia="zh-CN"/>
        </w:rPr>
      </w:pPr>
      <w:r>
        <w:rPr>
          <w:rFonts w:hint="eastAsia" w:ascii="黑体" w:hAnsi="黑体" w:eastAsia="黑体" w:cs="黑体"/>
          <w:b w:val="0"/>
          <w:sz w:val="32"/>
          <w:lang w:val="en-US" w:eastAsia="zh-CN"/>
        </w:rPr>
        <w:t>三、主要内容</w:t>
      </w:r>
    </w:p>
    <w:p>
      <w:pPr>
        <w:widowControl w:val="0"/>
        <w:kinsoku/>
        <w:overflowPunct w:val="0"/>
        <w:snapToGrid/>
        <w:spacing w:line="589" w:lineRule="exact"/>
        <w:ind w:firstLine="632" w:firstLineChars="200"/>
        <w:jc w:val="both"/>
        <w:rPr>
          <w:rFonts w:hint="eastAsia" w:ascii="仿宋_GB2312" w:hAnsi="仿宋_GB2312" w:eastAsia="仿宋_GB2312" w:cs="仿宋_GB2312"/>
          <w:sz w:val="32"/>
        </w:rPr>
      </w:pPr>
      <w:r>
        <w:rPr>
          <w:rFonts w:hint="eastAsia" w:ascii="仿宋_GB2312" w:hAnsi="仿宋_GB2312" w:eastAsia="仿宋_GB2312" w:cs="仿宋_GB2312"/>
          <w:sz w:val="32"/>
        </w:rPr>
        <w:t>《措施》主要分为6个部分，共制定20项具体举措。</w:t>
      </w:r>
    </w:p>
    <w:p>
      <w:pPr>
        <w:widowControl w:val="0"/>
        <w:kinsoku/>
        <w:overflowPunct w:val="0"/>
        <w:snapToGrid/>
        <w:spacing w:line="589" w:lineRule="exact"/>
        <w:ind w:firstLine="632" w:firstLineChars="200"/>
        <w:jc w:val="both"/>
        <w:rPr>
          <w:rFonts w:hint="eastAsia" w:ascii="仿宋_GB2312" w:hAnsi="仿宋_GB2312" w:eastAsia="仿宋_GB2312" w:cs="仿宋_GB2312"/>
          <w:sz w:val="32"/>
        </w:rPr>
      </w:pPr>
      <w:r>
        <w:rPr>
          <w:rFonts w:hint="eastAsia" w:ascii="仿宋_GB2312" w:hAnsi="仿宋_GB2312" w:eastAsia="仿宋_GB2312" w:cs="仿宋_GB2312"/>
          <w:sz w:val="32"/>
        </w:rPr>
        <w:t>第一部分，实施铸魂育人行动，落实立德树人根本任务。包括持续深入开展铸牢中华民族共同体意识教育、加强思想政治教育、提升以德化人成效3项具体举措。</w:t>
      </w:r>
    </w:p>
    <w:p>
      <w:pPr>
        <w:widowControl w:val="0"/>
        <w:kinsoku/>
        <w:overflowPunct w:val="0"/>
        <w:snapToGrid/>
        <w:spacing w:line="589" w:lineRule="exact"/>
        <w:ind w:firstLine="632" w:firstLineChars="200"/>
        <w:jc w:val="both"/>
        <w:rPr>
          <w:rFonts w:hint="eastAsia" w:ascii="仿宋_GB2312" w:hAnsi="仿宋_GB2312" w:eastAsia="仿宋_GB2312" w:cs="仿宋_GB2312"/>
          <w:sz w:val="32"/>
        </w:rPr>
      </w:pPr>
      <w:r>
        <w:rPr>
          <w:rFonts w:hint="eastAsia" w:ascii="仿宋_GB2312" w:hAnsi="仿宋_GB2312" w:eastAsia="仿宋_GB2312" w:cs="仿宋_GB2312"/>
          <w:sz w:val="32"/>
        </w:rPr>
        <w:t>第二部分，实施民生提升行动，回应人民群众关心关切。包括优化区域教育资源、加快推进“双创”工作、提升职业教育办学能力、提高高等教育发展水平4项具体举措。</w:t>
      </w:r>
    </w:p>
    <w:p>
      <w:pPr>
        <w:widowControl w:val="0"/>
        <w:kinsoku/>
        <w:overflowPunct w:val="0"/>
        <w:snapToGrid/>
        <w:spacing w:line="589" w:lineRule="exact"/>
        <w:ind w:firstLine="632" w:firstLineChars="200"/>
        <w:jc w:val="both"/>
        <w:rPr>
          <w:rFonts w:hint="eastAsia" w:ascii="仿宋_GB2312" w:hAnsi="仿宋_GB2312" w:eastAsia="仿宋_GB2312" w:cs="仿宋_GB2312"/>
          <w:sz w:val="32"/>
        </w:rPr>
      </w:pPr>
      <w:r>
        <w:rPr>
          <w:rFonts w:hint="eastAsia" w:ascii="仿宋_GB2312" w:hAnsi="仿宋_GB2312" w:eastAsia="仿宋_GB2312" w:cs="仿宋_GB2312"/>
          <w:sz w:val="32"/>
        </w:rPr>
        <w:t>第三部分，实施扩优提质行动，全面提升学校教学质效。包括全面推广普及国家通用语言文字、加快教研提质升级、培育一批优秀教学成果项目3项具体举措。</w:t>
      </w:r>
    </w:p>
    <w:p>
      <w:pPr>
        <w:widowControl w:val="0"/>
        <w:kinsoku/>
        <w:overflowPunct w:val="0"/>
        <w:snapToGrid/>
        <w:spacing w:line="589" w:lineRule="exact"/>
        <w:ind w:firstLine="632" w:firstLineChars="200"/>
        <w:jc w:val="both"/>
        <w:rPr>
          <w:rFonts w:hint="eastAsia" w:ascii="仿宋_GB2312" w:hAnsi="仿宋_GB2312" w:eastAsia="仿宋_GB2312" w:cs="仿宋_GB2312"/>
          <w:sz w:val="32"/>
        </w:rPr>
      </w:pPr>
      <w:r>
        <w:rPr>
          <w:rFonts w:hint="eastAsia" w:ascii="仿宋_GB2312" w:hAnsi="仿宋_GB2312" w:eastAsia="仿宋_GB2312" w:cs="仿宋_GB2312"/>
          <w:sz w:val="32"/>
        </w:rPr>
        <w:t>第四部分，实施素养提升行动，促进学生身心健康发展。包括着力提升学生体质健康水平，推进冰雪运动、曲棍球运动进校园，强化学生心理健康教育，全面深化学校美育、劳动、科学、国防教育4项具体举措。</w:t>
      </w:r>
    </w:p>
    <w:p>
      <w:pPr>
        <w:widowControl w:val="0"/>
        <w:kinsoku/>
        <w:overflowPunct w:val="0"/>
        <w:snapToGrid/>
        <w:spacing w:line="589" w:lineRule="exact"/>
        <w:ind w:firstLine="632" w:firstLineChars="200"/>
        <w:jc w:val="both"/>
        <w:rPr>
          <w:rFonts w:hint="eastAsia" w:ascii="仿宋_GB2312" w:hAnsi="仿宋_GB2312" w:eastAsia="仿宋_GB2312" w:cs="仿宋_GB2312"/>
          <w:sz w:val="32"/>
        </w:rPr>
      </w:pPr>
      <w:r>
        <w:rPr>
          <w:rFonts w:hint="eastAsia" w:ascii="仿宋_GB2312" w:hAnsi="仿宋_GB2312" w:eastAsia="仿宋_GB2312" w:cs="仿宋_GB2312"/>
          <w:sz w:val="32"/>
        </w:rPr>
        <w:t>第五部分，实施引育并举行动，激发教师队伍整体活力。包括优化教育人才引进政策，深化教师正向激励机制，强化名校长、名师、名班主任、名教研员队伍建设3项具体举措。</w:t>
      </w:r>
    </w:p>
    <w:p>
      <w:pPr>
        <w:widowControl w:val="0"/>
        <w:kinsoku/>
        <w:overflowPunct w:val="0"/>
        <w:snapToGrid/>
        <w:spacing w:line="589" w:lineRule="exact"/>
        <w:ind w:firstLine="632" w:firstLineChars="200"/>
        <w:jc w:val="both"/>
        <w:rPr>
          <w:rFonts w:hint="eastAsia" w:ascii="仿宋_GB2312" w:hAnsi="仿宋_GB2312" w:eastAsia="仿宋_GB2312" w:cs="仿宋_GB2312"/>
          <w:sz w:val="32"/>
        </w:rPr>
      </w:pPr>
      <w:r>
        <w:rPr>
          <w:rFonts w:hint="eastAsia" w:ascii="仿宋_GB2312" w:hAnsi="仿宋_GB2312" w:eastAsia="仿宋_GB2312" w:cs="仿宋_GB2312"/>
          <w:sz w:val="32"/>
        </w:rPr>
        <w:t>第六部分，实施保障提优行动，优化教育事业发展环境。包括优化教师队伍管理、加快教育数字化建设、加强平安校园建设3项具体举措。</w:t>
      </w:r>
    </w:p>
    <w:p>
      <w:pPr>
        <w:widowControl w:val="0"/>
        <w:kinsoku/>
        <w:overflowPunct w:val="0"/>
        <w:snapToGrid/>
        <w:spacing w:line="589" w:lineRule="exact"/>
        <w:ind w:firstLine="632" w:firstLineChars="200"/>
        <w:jc w:val="both"/>
        <w:rPr>
          <w:rFonts w:hint="eastAsia" w:ascii="仿宋_GB2312" w:hAnsi="仿宋_GB2312" w:eastAsia="仿宋_GB2312" w:cs="仿宋_GB2312"/>
          <w:sz w:val="32"/>
        </w:rPr>
      </w:pPr>
    </w:p>
    <w:p>
      <w:pPr>
        <w:widowControl w:val="0"/>
        <w:kinsoku/>
        <w:overflowPunct w:val="0"/>
        <w:snapToGrid/>
        <w:spacing w:line="589" w:lineRule="exact"/>
        <w:ind w:firstLine="632" w:firstLineChars="200"/>
        <w:jc w:val="both"/>
        <w:rPr>
          <w:rFonts w:hint="eastAsia" w:ascii="仿宋_GB2312" w:hAnsi="仿宋_GB2312" w:eastAsia="仿宋_GB2312" w:cs="仿宋_GB2312"/>
          <w:sz w:val="32"/>
        </w:rPr>
      </w:pPr>
    </w:p>
    <w:sectPr>
      <w:pgSz w:w="11906" w:h="16838"/>
      <w:pgMar w:top="2098" w:right="1474" w:bottom="1984" w:left="1588" w:header="851" w:footer="1400" w:gutter="0"/>
      <w:cols w:space="425" w:num="1"/>
      <w:rtlGutter w:val="0"/>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86"/>
    <w:family w:val="auto"/>
    <w:pitch w:val="default"/>
    <w:sig w:usb0="00000000" w:usb1="00000000" w:usb2="00000000" w:usb3="00000000" w:csb0="00000000" w:csb1="00000000"/>
  </w:font>
  <w:font w:name="Wingdings">
    <w:altName w:val="Standard Symbols P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Standard Symbols PS"/>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西文正文">
    <w:altName w:val="URW Bookman"/>
    <w:panose1 w:val="00000000000000000000"/>
    <w:charset w:val="00"/>
    <w:family w:val="auto"/>
    <w:pitch w:val="default"/>
    <w:sig w:usb0="00000000" w:usb1="00000000" w:usb2="00000000" w:usb3="00000000" w:csb0="00000000" w:csb1="00000000"/>
  </w:font>
  <w:font w:name="+中文正文">
    <w:altName w:val="URW Bookman"/>
    <w:panose1 w:val="00000000000000000000"/>
    <w:charset w:val="00"/>
    <w:family w:val="auto"/>
    <w:pitch w:val="default"/>
    <w:sig w:usb0="00000000" w:usb1="00000000" w:usb2="00000000" w:usb3="00000000" w:csb0="00000000" w:csb1="00000000"/>
  </w:font>
  <w:font w:name="方正小标宋简体">
    <w:panose1 w:val="02000000000000000000"/>
    <w:charset w:val="86"/>
    <w:family w:val="auto"/>
    <w:pitch w:val="default"/>
    <w:sig w:usb0="A00002BF" w:usb1="184F6CFA" w:usb2="00000012" w:usb3="00000000" w:csb0="00040001" w:csb1="00000000"/>
  </w:font>
  <w:font w:name="仿宋_GB2312">
    <w:panose1 w:val="02010609030101010101"/>
    <w:charset w:val="86"/>
    <w:family w:val="auto"/>
    <w:pitch w:val="default"/>
    <w:sig w:usb0="00000001" w:usb1="080E0000" w:usb2="00000000" w:usb3="00000000" w:csb0="00040000" w:csb1="00000000"/>
  </w:font>
  <w:font w:name="方正书宋_GBK">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 w:name="URW Bookman">
    <w:panose1 w:val="00000400000000000000"/>
    <w:charset w:val="00"/>
    <w:family w:val="auto"/>
    <w:pitch w:val="default"/>
    <w:sig w:usb0="00000287" w:usb1="00000800" w:usb2="00000000" w:usb3="00000000" w:csb0="6000009F" w:csb1="00000000"/>
  </w:font>
  <w:font w:name="Standard Symbols PS">
    <w:panose1 w:val="05050102010706020507"/>
    <w:charset w:val="00"/>
    <w:family w:val="auto"/>
    <w:pitch w:val="default"/>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5"/>
  <w:doNotDisplayPageBoundaries w:val="true"/>
  <w:embedSystemFonts/>
  <w:bordersDoNotSurroundHeader w:val="false"/>
  <w:bordersDoNotSurroundFooter w:val="false"/>
  <w:documentProtection w:enforcement="0"/>
  <w:defaultTabStop w:val="420"/>
  <w:drawingGridHorizontalSpacing w:val="158"/>
  <w:drawingGridVerticalSpacing w:val="290"/>
  <w:displayHorizontalDrawingGridEvery w:val="1"/>
  <w:displayVerticalDrawingGridEvery w:val="1"/>
  <w:noPunctuationKerning w:val="true"/>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482069"/>
    <w:rsid w:val="35534022"/>
    <w:rsid w:val="5B606E86"/>
    <w:rsid w:val="5D607170"/>
    <w:rsid w:val="70730722"/>
    <w:rsid w:val="74A740B6"/>
    <w:rsid w:val="7E554FBB"/>
    <w:rsid w:val="DEFD161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西文正文" w:hAnsi="+西文正文" w:eastAsia="+中文正文" w:cs="+西文正文"/>
      <w:snapToGrid w:val="0"/>
      <w:kern w:val="2"/>
      <w:sz w:val="32"/>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false"/>
        </a:gradFill>
        <a:gradFill>
          <a:gsLst>
            <a:gs pos="0">
              <a:schemeClr val="phClr">
                <a:hueOff val="-2520000"/>
              </a:schemeClr>
            </a:gs>
            <a:gs pos="100000">
              <a:schemeClr val="phClr"/>
            </a:gs>
          </a:gsLst>
          <a:lin ang="2700000" scaled="false"/>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true"/>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Pages>
  <Words>1240</Words>
  <Characters>1281</Characters>
  <Lines>0</Lines>
  <Paragraphs>0</Paragraphs>
  <TotalTime>5</TotalTime>
  <ScaleCrop>false</ScaleCrop>
  <LinksUpToDate>false</LinksUpToDate>
  <CharactersWithSpaces>1282</CharactersWithSpaces>
  <Application>WPS Office_11.8.2.10422_F1E327BC-269C-435d-A152-05C5408002CA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2025-01-02T17:08:00Z</dcterms:created>
  <dc:creator>JINYU</dc:creator>
  <cp:lastModifiedBy>kylin</cp:lastModifiedBy>
  <dcterms:modified xsi:type="dcterms:W3CDTF">2025-01-06T09:50:47Z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2052-11.8.2.10422</vt:lpwstr>
  </property>
  <property fmtid="{D5CDD505-2E9C-101B-9397-08002B2CF9AE}" pid="3" name="KSOTemplateDocerSaveRecord">
    <vt:lpwstr>eyJoZGlkIjoiYjk5NDA1MWQ2YjQ2YjY1ZjA4ODA2NTRiNDJmMGM5MjIiLCJ1c2VySWQiOiI3NTkxMDcxMDAifQ==</vt:lpwstr>
  </property>
  <property fmtid="{D5CDD505-2E9C-101B-9397-08002B2CF9AE}" pid="4" name="ICV">
    <vt:lpwstr>1A33144569BC42C29D164231606348D1_13</vt:lpwstr>
  </property>
</Properties>
</file>