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92A24B">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eastAsia" w:ascii="方正小标宋简体" w:hAnsi="方正小标宋简体" w:eastAsia="方正小标宋简体" w:cs="方正小标宋简体"/>
          <w:color w:val="auto"/>
          <w:sz w:val="44"/>
          <w:szCs w:val="44"/>
          <w:highlight w:val="none"/>
          <w:lang w:eastAsia="zh-CN"/>
        </w:rPr>
      </w:pPr>
      <w:r>
        <w:rPr>
          <w:rFonts w:hint="eastAsia" w:ascii="方正小标宋简体" w:hAnsi="方正小标宋简体" w:eastAsia="方正小标宋简体" w:cs="方正小标宋简体"/>
          <w:color w:val="auto"/>
          <w:sz w:val="44"/>
          <w:szCs w:val="44"/>
          <w:highlight w:val="none"/>
          <w:lang w:eastAsia="zh-CN"/>
        </w:rPr>
        <w:t>呼伦贝尔市推进教育高质量发展</w:t>
      </w:r>
      <w:r>
        <w:rPr>
          <w:rFonts w:hint="eastAsia" w:ascii="方正小标宋简体" w:hAnsi="方正小标宋简体" w:eastAsia="方正小标宋简体" w:cs="方正小标宋简体"/>
          <w:color w:val="auto"/>
          <w:sz w:val="44"/>
          <w:szCs w:val="44"/>
          <w:highlight w:val="none"/>
          <w:lang w:val="en-US" w:eastAsia="zh-CN"/>
        </w:rPr>
        <w:t>若干</w:t>
      </w:r>
      <w:r>
        <w:rPr>
          <w:rFonts w:hint="eastAsia" w:ascii="方正小标宋简体" w:hAnsi="方正小标宋简体" w:eastAsia="方正小标宋简体" w:cs="方正小标宋简体"/>
          <w:color w:val="auto"/>
          <w:sz w:val="44"/>
          <w:szCs w:val="44"/>
          <w:highlight w:val="none"/>
          <w:lang w:eastAsia="zh-CN"/>
        </w:rPr>
        <w:t>措施</w:t>
      </w:r>
    </w:p>
    <w:p w14:paraId="7ABE60DF">
      <w:pPr>
        <w:keepNext w:val="0"/>
        <w:keepLines w:val="0"/>
        <w:pageBreakBefore w:val="0"/>
        <w:widowControl w:val="0"/>
        <w:kinsoku/>
        <w:wordWrap/>
        <w:overflowPunct/>
        <w:topLinePunct w:val="0"/>
        <w:autoSpaceDE/>
        <w:autoSpaceDN/>
        <w:bidi w:val="0"/>
        <w:adjustRightInd/>
        <w:snapToGrid/>
        <w:spacing w:line="600" w:lineRule="exact"/>
        <w:ind w:left="0"/>
        <w:textAlignment w:val="auto"/>
        <w:rPr>
          <w:rFonts w:hint="eastAsia"/>
          <w:color w:val="auto"/>
          <w:highlight w:val="none"/>
          <w:lang w:eastAsia="zh-CN"/>
        </w:rPr>
      </w:pPr>
    </w:p>
    <w:p w14:paraId="71B5134C">
      <w:pPr>
        <w:keepNext w:val="0"/>
        <w:keepLines w:val="0"/>
        <w:pageBreakBefore w:val="0"/>
        <w:widowControl w:val="0"/>
        <w:kinsoku/>
        <w:wordWrap/>
        <w:overflowPunct/>
        <w:topLinePunct w:val="0"/>
        <w:autoSpaceDE/>
        <w:autoSpaceDN/>
        <w:bidi w:val="0"/>
        <w:adjustRightInd/>
        <w:snapToGrid/>
        <w:spacing w:line="600" w:lineRule="exact"/>
        <w:ind w:left="0"/>
        <w:jc w:val="center"/>
        <w:textAlignment w:val="auto"/>
        <w:rPr>
          <w:rFonts w:hint="eastAsia" w:ascii="楷体_GB2312" w:hAnsi="楷体_GB2312" w:eastAsia="楷体_GB2312" w:cs="楷体_GB2312"/>
          <w:color w:val="auto"/>
          <w:sz w:val="32"/>
          <w:szCs w:val="32"/>
          <w:highlight w:val="none"/>
          <w:lang w:eastAsia="zh-CN"/>
        </w:rPr>
      </w:pPr>
      <w:r>
        <w:rPr>
          <w:rFonts w:hint="eastAsia" w:ascii="楷体_GB2312" w:hAnsi="楷体_GB2312" w:eastAsia="楷体_GB2312" w:cs="楷体_GB2312"/>
          <w:color w:val="auto"/>
          <w:sz w:val="32"/>
          <w:szCs w:val="32"/>
          <w:highlight w:val="none"/>
          <w:lang w:eastAsia="zh-CN"/>
        </w:rPr>
        <w:t>（送审稿）</w:t>
      </w:r>
    </w:p>
    <w:p w14:paraId="715C20C7">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default" w:ascii="仿宋_GB2312" w:hAnsi="仿宋_GB2312" w:eastAsia="仿宋_GB2312" w:cs="仿宋_GB2312"/>
          <w:color w:val="auto"/>
          <w:sz w:val="32"/>
          <w:szCs w:val="32"/>
          <w:highlight w:val="none"/>
          <w:lang w:val="en-US" w:eastAsia="zh-CN"/>
        </w:rPr>
      </w:pPr>
    </w:p>
    <w:p w14:paraId="21CC4DC9">
      <w:pPr>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为全面贯彻落实全国教育大会、全区教育工作会议精神，推进落实自治区党委、政府《关于贯彻落实〈教育强国建设规划纲要（</w:t>
      </w:r>
      <w:r>
        <w:rPr>
          <w:rFonts w:hint="eastAsia" w:ascii="仿宋_GB2312" w:hAnsi="仿宋_GB2312" w:eastAsia="仿宋_GB2312" w:cs="仿宋_GB2312"/>
          <w:color w:val="auto"/>
          <w:sz w:val="32"/>
          <w:szCs w:val="32"/>
          <w:highlight w:val="none"/>
          <w:lang w:val="en-US" w:eastAsia="zh-CN"/>
        </w:rPr>
        <w:t>2024-2035年</w:t>
      </w:r>
      <w:r>
        <w:rPr>
          <w:rFonts w:hint="eastAsia" w:ascii="仿宋_GB2312" w:hAnsi="仿宋_GB2312" w:eastAsia="仿宋_GB2312" w:cs="仿宋_GB2312"/>
          <w:color w:val="auto"/>
          <w:sz w:val="32"/>
          <w:szCs w:val="32"/>
          <w:highlight w:val="none"/>
          <w:lang w:eastAsia="zh-CN"/>
        </w:rPr>
        <w:t>）〉加快建设教育强区的意见》要求，以铸牢中华民族共同体意识为主线，加快实施“教育强市”战略，推进呼伦贝尔市教育事业高质量发展，办好人民满意的教育，紧扣“更加突出重视教育，更加突出激励教师，更加突出教育改革”，坚持目标导向、问题导向、效果导向，立足我市教育工作实际，制定推进教育高质量发展</w:t>
      </w:r>
      <w:r>
        <w:rPr>
          <w:rFonts w:hint="eastAsia" w:ascii="仿宋_GB2312" w:hAnsi="仿宋_GB2312" w:eastAsia="仿宋_GB2312" w:cs="仿宋_GB2312"/>
          <w:color w:val="auto"/>
          <w:sz w:val="32"/>
          <w:szCs w:val="32"/>
          <w:highlight w:val="none"/>
          <w:lang w:val="en-US" w:eastAsia="zh-CN"/>
        </w:rPr>
        <w:t>若干</w:t>
      </w:r>
      <w:r>
        <w:rPr>
          <w:rFonts w:hint="eastAsia" w:ascii="仿宋_GB2312" w:hAnsi="仿宋_GB2312" w:eastAsia="仿宋_GB2312" w:cs="仿宋_GB2312"/>
          <w:color w:val="auto"/>
          <w:sz w:val="32"/>
          <w:szCs w:val="32"/>
          <w:highlight w:val="none"/>
          <w:lang w:eastAsia="zh-CN"/>
        </w:rPr>
        <w:t>措施。</w:t>
      </w:r>
    </w:p>
    <w:p w14:paraId="145FA67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黑体"/>
          <w:color w:val="auto"/>
          <w:sz w:val="32"/>
          <w:szCs w:val="32"/>
          <w:highlight w:val="none"/>
          <w:lang w:eastAsia="zh-CN"/>
        </w:rPr>
      </w:pPr>
      <w:r>
        <w:rPr>
          <w:rFonts w:hint="eastAsia" w:ascii="黑体" w:hAnsi="黑体" w:eastAsia="黑体" w:cs="黑体"/>
          <w:color w:val="auto"/>
          <w:kern w:val="2"/>
          <w:sz w:val="32"/>
          <w:szCs w:val="32"/>
          <w:highlight w:val="none"/>
          <w:lang w:val="en-US" w:eastAsia="zh-CN" w:bidi="ar-SA"/>
        </w:rPr>
        <w:t>一、</w:t>
      </w:r>
      <w:r>
        <w:rPr>
          <w:rFonts w:hint="eastAsia" w:ascii="黑体" w:hAnsi="黑体" w:eastAsia="黑体" w:cs="黑体"/>
          <w:color w:val="auto"/>
          <w:sz w:val="32"/>
          <w:szCs w:val="32"/>
          <w:highlight w:val="none"/>
          <w:lang w:eastAsia="zh-CN"/>
        </w:rPr>
        <w:t>实施铸魂育人行动，落实立德树人根本任务</w:t>
      </w:r>
    </w:p>
    <w:p w14:paraId="1DF8819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（一）持续深入开展铸牢中华民族共同体意识教育</w:t>
      </w:r>
    </w:p>
    <w:p w14:paraId="77C5E24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lang w:val="en-US" w:eastAsia="zh-CN"/>
        </w:rPr>
        <w:t>1.</w:t>
      </w:r>
      <w:r>
        <w:rPr>
          <w:rFonts w:ascii="仿宋_GB2312" w:hAnsi="仿宋_GB2312" w:eastAsia="仿宋_GB2312" w:cs="仿宋_GB2312"/>
          <w:color w:val="auto"/>
          <w:sz w:val="32"/>
          <w:szCs w:val="32"/>
          <w:highlight w:val="none"/>
        </w:rPr>
        <w:t>坚持把铸牢中华民族共同体意识</w:t>
      </w:r>
      <w:r>
        <w:rPr>
          <w:rFonts w:hint="eastAsia" w:ascii="仿宋_GB2312" w:hAnsi="仿宋_GB2312" w:eastAsia="仿宋_GB2312" w:cs="仿宋_GB2312"/>
          <w:color w:val="auto"/>
          <w:sz w:val="32"/>
          <w:szCs w:val="32"/>
          <w:highlight w:val="none"/>
          <w:lang w:eastAsia="zh-CN"/>
        </w:rPr>
        <w:t>工作主线</w:t>
      </w:r>
      <w:r>
        <w:rPr>
          <w:rFonts w:hint="eastAsia" w:ascii="仿宋_GB2312" w:hAnsi="仿宋_GB2312" w:eastAsia="仿宋_GB2312" w:cs="仿宋_GB2312"/>
          <w:color w:val="auto"/>
          <w:sz w:val="32"/>
          <w:szCs w:val="32"/>
          <w:highlight w:val="none"/>
        </w:rPr>
        <w:t>贯穿</w:t>
      </w:r>
      <w:r>
        <w:rPr>
          <w:rFonts w:ascii="仿宋_GB2312" w:hAnsi="仿宋_GB2312" w:eastAsia="仿宋_GB2312" w:cs="仿宋_GB2312"/>
          <w:color w:val="auto"/>
          <w:sz w:val="32"/>
          <w:szCs w:val="32"/>
          <w:highlight w:val="none"/>
        </w:rPr>
        <w:t>于</w:t>
      </w:r>
      <w:r>
        <w:rPr>
          <w:rFonts w:hint="eastAsia" w:ascii="仿宋_GB2312" w:hAnsi="仿宋_GB2312" w:eastAsia="仿宋_GB2312" w:cs="仿宋_GB2312"/>
          <w:color w:val="auto"/>
          <w:sz w:val="32"/>
          <w:szCs w:val="32"/>
          <w:highlight w:val="none"/>
        </w:rPr>
        <w:t>办学治校、教书育人全过程</w:t>
      </w:r>
      <w:r>
        <w:rPr>
          <w:rFonts w:ascii="仿宋_GB2312" w:hAnsi="仿宋_GB2312" w:eastAsia="仿宋_GB2312" w:cs="仿宋_GB2312"/>
          <w:color w:val="auto"/>
          <w:sz w:val="32"/>
          <w:szCs w:val="32"/>
          <w:highlight w:val="none"/>
        </w:rPr>
        <w:t>，实现一体化建设、全学段覆盖</w:t>
      </w:r>
      <w:r>
        <w:rPr>
          <w:rFonts w:hint="eastAsia" w:ascii="仿宋_GB2312" w:hAnsi="仿宋_GB2312" w:eastAsia="仿宋_GB2312" w:cs="仿宋_GB2312"/>
          <w:color w:val="auto"/>
          <w:sz w:val="32"/>
          <w:szCs w:val="32"/>
          <w:highlight w:val="none"/>
        </w:rPr>
        <w:t>。全市各级各类学校积极探索、广泛实践，聚焦国家课程校本化、校本课程特色化、特色课程系统化、系统课程规范化的工作思路。</w:t>
      </w:r>
      <w:r>
        <w:rPr>
          <w:rFonts w:hint="eastAsia" w:ascii="仿宋_GB2312" w:hAnsi="仿宋_GB2312" w:eastAsia="仿宋_GB2312" w:cs="仿宋_GB2312"/>
          <w:b w:val="0"/>
          <w:bCs w:val="0"/>
          <w:color w:val="auto"/>
          <w:sz w:val="32"/>
          <w:szCs w:val="32"/>
          <w:highlight w:val="none"/>
        </w:rPr>
        <w:t>将铸牢中华民族共同体意识教育有效融入课堂教学、</w:t>
      </w:r>
      <w:r>
        <w:rPr>
          <w:rFonts w:hint="eastAsia" w:ascii="仿宋_GB2312" w:hAnsi="仿宋_GB2312" w:eastAsia="仿宋_GB2312" w:cs="仿宋_GB2312"/>
          <w:color w:val="auto"/>
          <w:sz w:val="32"/>
          <w:szCs w:val="32"/>
          <w:highlight w:val="none"/>
        </w:rPr>
        <w:t>根植于学生头脑、厚植于学生情感、外化于学生行为。</w:t>
      </w:r>
    </w:p>
    <w:p w14:paraId="078A95B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责任单位：市教育局、市域内各高校、各旗市区人民政府。</w:t>
      </w:r>
    </w:p>
    <w:p w14:paraId="457788F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（二）加强思想政治教育</w:t>
      </w:r>
    </w:p>
    <w:p w14:paraId="71A8F6B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2.</w:t>
      </w:r>
      <w:r>
        <w:rPr>
          <w:rFonts w:hint="eastAsia" w:ascii="仿宋_GB2312" w:hAnsi="仿宋_GB2312" w:eastAsia="仿宋_GB2312" w:cs="仿宋_GB2312"/>
          <w:color w:val="auto"/>
          <w:sz w:val="32"/>
          <w:szCs w:val="32"/>
          <w:highlight w:val="none"/>
          <w:lang w:val="en-US" w:eastAsia="zh-CN"/>
        </w:rPr>
        <w:t>深入推进大中小学思政教育一体化建设。加强高校牵头的1个大中小学思政课一体化共同体和4个一体化联盟建设，着力打造一体化教育资源、孵化一体化品牌活动、研发一体化示范“金课”。</w:t>
      </w:r>
    </w:p>
    <w:p w14:paraId="1910424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3.完善市域内高校包联旗市区和大中小学一体化“手拉手教科研”机制，常态化开展跨区域、跨学校、跨学段的思政课教研交流和学术研讨。积极培育课程思政特色校、示范课程、教学名师和团队。</w:t>
      </w:r>
    </w:p>
    <w:p w14:paraId="0FB4809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4.健全思政课教师保障机制，配齐建强思政课教师队伍。</w:t>
      </w:r>
    </w:p>
    <w:p w14:paraId="23C816C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lang w:val="en-US" w:eastAsia="zh-CN"/>
        </w:rPr>
        <w:t>责任单位：市教育局、市人社局、市委编办、市域内各高校、各旗市区人民政府。</w:t>
      </w:r>
    </w:p>
    <w:p w14:paraId="6C0FCFC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kern w:val="2"/>
          <w:sz w:val="32"/>
          <w:szCs w:val="32"/>
          <w:highlight w:val="none"/>
          <w:lang w:val="en-US" w:eastAsia="zh-CN" w:bidi="ar-SA"/>
        </w:rPr>
        <w:t>（三）</w:t>
      </w:r>
      <w:r>
        <w:rPr>
          <w:rFonts w:hint="eastAsia" w:ascii="楷体_GB2312" w:hAnsi="楷体_GB2312" w:eastAsia="楷体_GB2312" w:cs="楷体_GB2312"/>
          <w:color w:val="auto"/>
          <w:sz w:val="32"/>
          <w:szCs w:val="32"/>
          <w:highlight w:val="none"/>
          <w:lang w:val="en-US" w:eastAsia="zh-CN"/>
        </w:rPr>
        <w:t>提升以德化人成效</w:t>
      </w:r>
    </w:p>
    <w:p w14:paraId="2553088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5.坚持立德树人根本任务，推进中小学德育有效衔接，以“一校一章程一规划”为核心，大力培育并弘扬学校“三风一训”，加强学校文化建设，巩固书香校园建设成果。</w:t>
      </w:r>
    </w:p>
    <w:p w14:paraId="06E3FB1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6.各学校要打造1-2个具有一定影响力的特色育人品牌，在全市范围内形成全员育人、全程育人、全方位育人的德育工作格局。</w:t>
      </w:r>
    </w:p>
    <w:p w14:paraId="0C78C04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7.推动各地各校建立家校社协同育人“教联体”，着力构建学校主导、家庭尽责、社会参与的协同育人工作机制，营造学生全面发展健康成长的良好氛围。</w:t>
      </w:r>
    </w:p>
    <w:p w14:paraId="56841B2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责任单位：市教育局、市域内各高校、各旗市区人民政府。</w:t>
      </w:r>
    </w:p>
    <w:p w14:paraId="7D87FD6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二、实施民生提升行动，回应人民群众关心关切</w:t>
      </w:r>
    </w:p>
    <w:p w14:paraId="69D7EBB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（四）优化区域教育资源</w:t>
      </w:r>
    </w:p>
    <w:p w14:paraId="22B323E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8.打造一批“家门口的好幼儿园”。全面提升办园水平，满足人民群众对优质学前教育的需求。全市每年创建2-3所自治区级“示范幼儿园”、5-10所市级“示范幼儿园”，对创建为自治区级“示范幼儿园”及市级“示范幼儿园”的园所进行奖补。支持有条件的幼儿园招收2-3岁幼儿。</w:t>
      </w:r>
    </w:p>
    <w:p w14:paraId="0E5C425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9.进一步完善教育集团办学机制。积极开展“集团化办学示范校”创建工程，制定相关评选办法，</w:t>
      </w:r>
      <w:r>
        <w:rPr>
          <w:rFonts w:hint="default" w:ascii="仿宋_GB2312" w:hAnsi="仿宋_GB2312" w:eastAsia="仿宋_GB2312" w:cs="仿宋_GB2312"/>
          <w:color w:val="auto"/>
          <w:sz w:val="32"/>
          <w:szCs w:val="32"/>
          <w:highlight w:val="none"/>
          <w:lang w:val="en-US" w:eastAsia="zh-CN"/>
        </w:rPr>
        <w:t>由</w:t>
      </w:r>
      <w:r>
        <w:rPr>
          <w:rFonts w:hint="eastAsia" w:ascii="仿宋_GB2312" w:hAnsi="仿宋_GB2312" w:eastAsia="仿宋_GB2312" w:cs="仿宋_GB2312"/>
          <w:color w:val="auto"/>
          <w:sz w:val="32"/>
          <w:szCs w:val="32"/>
          <w:highlight w:val="none"/>
          <w:lang w:val="en-US" w:eastAsia="zh-CN"/>
        </w:rPr>
        <w:t>市本级每年安排100万元保障经费，</w:t>
      </w:r>
      <w:r>
        <w:rPr>
          <w:rFonts w:hint="default" w:ascii="仿宋_GB2312" w:hAnsi="仿宋_GB2312" w:eastAsia="仿宋_GB2312" w:cs="仿宋_GB2312"/>
          <w:color w:val="auto"/>
          <w:sz w:val="32"/>
          <w:szCs w:val="32"/>
          <w:highlight w:val="none"/>
          <w:lang w:val="en-US" w:eastAsia="zh-CN"/>
        </w:rPr>
        <w:t>对提高教育质量成效显著、辐射带动作用突出的示范校给予支持和奖励</w:t>
      </w:r>
      <w:r>
        <w:rPr>
          <w:rFonts w:hint="eastAsia" w:ascii="仿宋_GB2312" w:hAnsi="仿宋_GB2312" w:eastAsia="仿宋_GB2312" w:cs="仿宋_GB2312"/>
          <w:color w:val="auto"/>
          <w:sz w:val="32"/>
          <w:szCs w:val="32"/>
          <w:highlight w:val="none"/>
          <w:lang w:val="en-US" w:eastAsia="zh-CN"/>
        </w:rPr>
        <w:t>。</w:t>
      </w:r>
    </w:p>
    <w:p w14:paraId="242645C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10.</w:t>
      </w:r>
      <w:r>
        <w:rPr>
          <w:rFonts w:hint="default" w:ascii="仿宋_GB2312" w:hAnsi="仿宋_GB2312" w:eastAsia="仿宋_GB2312" w:cs="仿宋_GB2312"/>
          <w:color w:val="auto"/>
          <w:sz w:val="32"/>
          <w:szCs w:val="32"/>
          <w:highlight w:val="none"/>
          <w:lang w:val="en-US" w:eastAsia="zh-CN"/>
        </w:rPr>
        <w:t>落实普通高中发展提升行动计划。</w:t>
      </w:r>
      <w:r>
        <w:rPr>
          <w:rFonts w:hint="eastAsia" w:ascii="仿宋_GB2312" w:hAnsi="仿宋_GB2312" w:eastAsia="仿宋_GB2312" w:cs="仿宋_GB2312"/>
          <w:color w:val="auto"/>
          <w:sz w:val="32"/>
          <w:szCs w:val="32"/>
          <w:highlight w:val="none"/>
          <w:lang w:val="en-US" w:eastAsia="zh-CN"/>
        </w:rPr>
        <w:t>探索建设具有科学、人文、外语、体育、艺术等方面特色的高中，积极推进创建至少1所以科学教育为特色的高中。</w:t>
      </w:r>
      <w:r>
        <w:rPr>
          <w:rFonts w:hint="default" w:ascii="仿宋_GB2312" w:hAnsi="仿宋_GB2312" w:eastAsia="仿宋_GB2312" w:cs="仿宋_GB2312"/>
          <w:color w:val="auto"/>
          <w:sz w:val="32"/>
          <w:szCs w:val="32"/>
          <w:highlight w:val="none"/>
          <w:lang w:val="en-US" w:eastAsia="zh-CN"/>
        </w:rPr>
        <w:t>进一步加</w:t>
      </w:r>
      <w:r>
        <w:rPr>
          <w:rFonts w:hint="eastAsia" w:ascii="仿宋_GB2312" w:hAnsi="仿宋_GB2312" w:eastAsia="仿宋_GB2312" w:cs="仿宋_GB2312"/>
          <w:color w:val="auto"/>
          <w:sz w:val="32"/>
          <w:szCs w:val="32"/>
          <w:highlight w:val="none"/>
          <w:lang w:val="en-US" w:eastAsia="zh-CN"/>
        </w:rPr>
        <w:t>强市级统筹</w:t>
      </w:r>
      <w:r>
        <w:rPr>
          <w:rFonts w:hint="default" w:ascii="仿宋_GB2312" w:hAnsi="仿宋_GB2312" w:eastAsia="仿宋_GB2312" w:cs="仿宋_GB2312"/>
          <w:color w:val="auto"/>
          <w:sz w:val="32"/>
          <w:szCs w:val="32"/>
          <w:highlight w:val="none"/>
          <w:lang w:val="en-US" w:eastAsia="zh-CN"/>
        </w:rPr>
        <w:t>指导</w:t>
      </w:r>
      <w:r>
        <w:rPr>
          <w:rFonts w:hint="eastAsia" w:ascii="仿宋_GB2312" w:hAnsi="仿宋_GB2312" w:eastAsia="仿宋_GB2312" w:cs="仿宋_GB2312"/>
          <w:color w:val="auto"/>
          <w:sz w:val="32"/>
          <w:szCs w:val="32"/>
          <w:highlight w:val="none"/>
          <w:lang w:val="en-US" w:eastAsia="zh-CN"/>
        </w:rPr>
        <w:t>，创建自治区示范性高中、特色高中，市本级为每所“示范性高中或特色高中”奖励30万元；支持有条件的旗市区办好一所优质普通高中，市本级为每所“县域优质高中”奖励15万元。</w:t>
      </w:r>
    </w:p>
    <w:p w14:paraId="2E0507D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11.</w:t>
      </w:r>
      <w:r>
        <w:rPr>
          <w:rFonts w:hint="default" w:ascii="仿宋_GB2312" w:hAnsi="仿宋_GB2312" w:eastAsia="仿宋_GB2312" w:cs="仿宋_GB2312"/>
          <w:color w:val="auto"/>
          <w:sz w:val="32"/>
          <w:szCs w:val="32"/>
          <w:highlight w:val="none"/>
          <w:lang w:val="en-US" w:eastAsia="zh-CN"/>
        </w:rPr>
        <w:t>支持边境地区国门学校建设。优化办学条件，加强远程教育，高质量实施自治区教师培训“一对一”精准帮扶三年行动计划项目。</w:t>
      </w:r>
    </w:p>
    <w:p w14:paraId="544D977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责任单位：市教育局、市财政局、各旗市区人民政府。</w:t>
      </w:r>
    </w:p>
    <w:p w14:paraId="2F332D7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（五）加快推进“双创”工作</w:t>
      </w:r>
    </w:p>
    <w:p w14:paraId="28D13CB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kern w:val="2"/>
          <w:sz w:val="32"/>
          <w:szCs w:val="32"/>
          <w:highlight w:val="none"/>
          <w:lang w:val="en-US" w:eastAsia="zh-CN" w:bidi="ar-SA"/>
        </w:rPr>
        <w:t>12.积极推进学前教育普及普惠、义务教育优质均衡发展县创建，加快实现“幼有优育、学有优教”。建立分学段、分区域学龄人口变化监测预警机制，动态调整中小学幼儿园布局规划，促进区域、城乡和各级各类教育均衡发展，加快推进城乡一体化。各旗市区政府要加大资金投入，落实“两个只增不减”，确保教育项目资金优先安排、优先保障，高质量完成“双创”工</w:t>
      </w:r>
      <w:r>
        <w:rPr>
          <w:rFonts w:hint="eastAsia" w:ascii="仿宋_GB2312" w:hAnsi="仿宋_GB2312" w:eastAsia="仿宋_GB2312" w:cs="仿宋_GB2312"/>
          <w:color w:val="auto"/>
          <w:sz w:val="32"/>
          <w:szCs w:val="32"/>
          <w:highlight w:val="none"/>
          <w:lang w:val="en-US" w:eastAsia="zh-CN"/>
        </w:rPr>
        <w:t>作任务。</w:t>
      </w:r>
    </w:p>
    <w:p w14:paraId="25C826D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lang w:val="en-US" w:eastAsia="zh-CN"/>
        </w:rPr>
        <w:t>责任单位：市教育局、市财政局、各旗市区人民政府。</w:t>
      </w:r>
    </w:p>
    <w:p w14:paraId="2C44B47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（六）提升职业教育办学能力</w:t>
      </w:r>
    </w:p>
    <w:p w14:paraId="5C9D00A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i w:val="0"/>
          <w:caps w:val="0"/>
          <w:color w:val="auto"/>
          <w:spacing w:val="0"/>
          <w:sz w:val="32"/>
          <w:szCs w:val="32"/>
          <w:highlight w:val="none"/>
          <w:lang w:val="en-US" w:eastAsia="zh-CN"/>
        </w:rPr>
        <w:t>13.</w:t>
      </w:r>
      <w:r>
        <w:rPr>
          <w:rFonts w:hint="eastAsia" w:ascii="仿宋_GB2312" w:hAnsi="仿宋_GB2312" w:eastAsia="仿宋_GB2312" w:cs="仿宋_GB2312"/>
          <w:i w:val="0"/>
          <w:caps w:val="0"/>
          <w:color w:val="auto"/>
          <w:spacing w:val="0"/>
          <w:sz w:val="32"/>
          <w:szCs w:val="32"/>
          <w:highlight w:val="none"/>
        </w:rPr>
        <w:t>推动职业教育与产业深度融合</w:t>
      </w:r>
      <w:r>
        <w:rPr>
          <w:rFonts w:hint="eastAsia" w:ascii="仿宋_GB2312" w:hAnsi="仿宋_GB2312" w:eastAsia="仿宋_GB2312" w:cs="仿宋_GB2312"/>
          <w:b w:val="0"/>
          <w:bCs w:val="0"/>
          <w:color w:val="auto"/>
          <w:sz w:val="32"/>
          <w:szCs w:val="32"/>
          <w:highlight w:val="none"/>
          <w:lang w:val="en-US" w:eastAsia="zh-CN"/>
        </w:rPr>
        <w:t>，系统推进专业、课程、教材、师资、实习实训基地等关键要素建设，提升职业教育办学能力，积极打造一批自治区优质中等职业学校和专业。积极探索落实“新八级工”制度。</w:t>
      </w:r>
    </w:p>
    <w:p w14:paraId="1C1A3DE8">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14.加强职业教育“双师型”教师队伍建设，专业课教师中“双师型”教师占比逐步提高到80%以上。依托职业院校每年统筹开展各类职业培训1万人次以上。</w:t>
      </w:r>
    </w:p>
    <w:p w14:paraId="3A54C86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15.增加职业教育投入，市本级每年安排150万元经费，保障中等职业教育工作开展。</w:t>
      </w:r>
    </w:p>
    <w:p w14:paraId="2243E80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16.高质量建设1个市域产教联合体和1个行业产教融合共同体。充分发挥冰雪市域产教联合体职能，在实体化运作、合作办学、服务区域冰雪产业发展方面进行积极探索，推进全市冰雪职业教育特色发展。</w:t>
      </w:r>
    </w:p>
    <w:p w14:paraId="32C4079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lang w:val="en-US" w:eastAsia="zh-CN"/>
        </w:rPr>
        <w:t>责任单位：市教育局、市财政局、市域内各高校、各旗市区人民政府。</w:t>
      </w:r>
    </w:p>
    <w:p w14:paraId="34332C0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（七）提高高等教育发展水平</w:t>
      </w:r>
    </w:p>
    <w:p w14:paraId="033CA07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17.优化市域高校布局。积极响应国家和区域主导产业以及新兴产业需求，持续加大我市高校软硬件设施改善力度，推动综合性高等职业院校办学，以更好地服务我市经济社会发展。呼伦贝尔学院要积极做好学科（硕士点）布局，调整专业结构，抓好学科专业一体化建设，推进应用型本科高校高质量发展，推动运动训练本科专业（曲棍球方向）设立和冰雪运动、曲棍球运动专业运动员本科单招，积极争创呼伦</w:t>
      </w:r>
      <w:bookmarkStart w:id="0" w:name="_GoBack"/>
      <w:bookmarkEnd w:id="0"/>
      <w:r>
        <w:rPr>
          <w:rFonts w:hint="eastAsia" w:ascii="仿宋_GB2312" w:hAnsi="仿宋_GB2312" w:eastAsia="仿宋_GB2312" w:cs="仿宋_GB2312"/>
          <w:color w:val="auto"/>
          <w:kern w:val="2"/>
          <w:sz w:val="32"/>
          <w:szCs w:val="32"/>
          <w:highlight w:val="none"/>
          <w:lang w:val="en-US" w:eastAsia="zh-CN" w:bidi="ar-SA"/>
        </w:rPr>
        <w:t>贝尔大学。</w:t>
      </w:r>
    </w:p>
    <w:p w14:paraId="5F08275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18.优化人才培养机制。落实“英才兴蒙”政策，确保专任教师、硕士生导师队伍规模，科学调整人才引进及培养办法，持续吸纳高层次人才加入。加大对高层次人才的动态监控与考核，同时借助“银龄”计划，做好人才培育，持续提升教研科研团队水平，推动我市人才培养数量和质量全面提升。</w:t>
      </w:r>
    </w:p>
    <w:p w14:paraId="242423F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19.健全产教融合体制。进一步梳理明确市域内企业和学校人才联合培养、共建订单班的模式，加强校企合作。积极发展技能教育，实施职业技能提升行动，努力构建一批高技能人才培训基地。</w:t>
      </w:r>
    </w:p>
    <w:p w14:paraId="4A847EA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lang w:val="en-US" w:eastAsia="zh-CN"/>
        </w:rPr>
        <w:t>责任单位：市域内各高校、市教育局。</w:t>
      </w:r>
    </w:p>
    <w:p w14:paraId="7D819CC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三、实施扩优提质行动，全面提升学校教学质效</w:t>
      </w:r>
    </w:p>
    <w:p w14:paraId="2423C45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（八）全面推广普及国家通用语言文字</w:t>
      </w:r>
    </w:p>
    <w:p w14:paraId="40B1C5F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20.</w:t>
      </w:r>
      <w:r>
        <w:rPr>
          <w:rFonts w:hint="eastAsia" w:ascii="仿宋_GB2312" w:hAnsi="仿宋_GB2312" w:eastAsia="仿宋_GB2312" w:cs="仿宋_GB2312"/>
          <w:color w:val="auto"/>
          <w:kern w:val="2"/>
          <w:sz w:val="32"/>
          <w:szCs w:val="32"/>
          <w:highlight w:val="none"/>
          <w:lang w:val="en-US" w:eastAsia="zh-CN" w:bidi="ar-SA"/>
        </w:rPr>
        <w:t>2025年开始，全面落实原民族语言授课学校高考国家统编教材科目“一张试卷考试”工作。高质量推动2025年秋季学期义务教育阶段及高中一年级各学科实现国家通用语言文字教育教学全覆盖。</w:t>
      </w:r>
    </w:p>
    <w:p w14:paraId="1C7097C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21.开展各学科教师国家通用语言文字应用能力评估，强化教师培训的实效性、针对性，为扩优提质“强基赋能”。</w:t>
      </w:r>
    </w:p>
    <w:p w14:paraId="4F4F051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22.</w:t>
      </w:r>
      <w:r>
        <w:rPr>
          <w:rFonts w:hint="eastAsia" w:ascii="仿宋_GB2312" w:hAnsi="仿宋_GB2312" w:eastAsia="仿宋_GB2312" w:cs="仿宋_GB2312"/>
          <w:color w:val="auto"/>
          <w:kern w:val="2"/>
          <w:sz w:val="32"/>
          <w:szCs w:val="32"/>
          <w:highlight w:val="none"/>
          <w:lang w:val="en-US" w:eastAsia="zh-CN" w:bidi="ar-SA"/>
        </w:rPr>
        <w:t>全面推进重点学科学业补差工作，提升学生学业水平。持续深化优质国通语学校与原民族语言授课学校“结对共建”。持续加大教研指导力度，组织名师工作坊深入学校开展包联视导、集体备课、送课送培及名师带徒等活动，全面提高原民族语言授课学校教育教学质量。</w:t>
      </w:r>
    </w:p>
    <w:p w14:paraId="727C08D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23.深入实施“童语同音”计划。推动普通学校和原民族语言授课学校统一实施就近划片招生，促进各民族学生共校共班。推动原民族语言浸课学校与普通学校校长和教师统筹调配、交流轮岗。</w:t>
      </w:r>
    </w:p>
    <w:p w14:paraId="55A57B9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责任单位：市教育局、相关旗市区人民政府。</w:t>
      </w:r>
    </w:p>
    <w:p w14:paraId="1B9C7BA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（九）加快教研提质升级</w:t>
      </w:r>
    </w:p>
    <w:p w14:paraId="6F64F6E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24.</w:t>
      </w:r>
      <w:r>
        <w:rPr>
          <w:rFonts w:hint="eastAsia" w:ascii="仿宋_GB2312" w:hAnsi="仿宋_GB2312" w:eastAsia="仿宋_GB2312" w:cs="仿宋_GB2312"/>
          <w:color w:val="auto"/>
          <w:kern w:val="2"/>
          <w:sz w:val="32"/>
          <w:szCs w:val="32"/>
          <w:highlight w:val="none"/>
          <w:lang w:val="en-US" w:eastAsia="zh-CN" w:bidi="ar-SA"/>
        </w:rPr>
        <w:t>强化市旗两级教研联动，带动各旗市区培养一支教学教研专家团队，着力解决教研教改等方面的难点、痛点、堵点，提高教研的针对性。</w:t>
      </w:r>
    </w:p>
    <w:p w14:paraId="7EC4DAC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25.加强教研员队伍建设，建立教研员专业发展机制，采用“走出去拓视野+引进来促发展”的培训培养模式，全面提升教研员综合素养。</w:t>
      </w:r>
    </w:p>
    <w:p w14:paraId="27CA4C8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26.积极开展多元教研活动，基于岗位、基于问题、面向全员、注重实效，将“教学研究”“教师培训”“以赛代训”有机结合，从“教科研训督”五个方面安排好活动载体，大力提升中小学教师的教育教学能力。</w:t>
      </w:r>
    </w:p>
    <w:p w14:paraId="4AD992F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27.充分发挥全市中小学素质教育研创综合馆作用，进一步推进国家中小学智慧教育云平台及京蒙协作工作平台的应用，为学校、教师和学生做好指导与服务，有效助推新课程改革落地见效。</w:t>
      </w:r>
    </w:p>
    <w:p w14:paraId="242FABF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责任单位：市教育局、各旗市区人民政府。</w:t>
      </w:r>
    </w:p>
    <w:p w14:paraId="3C0E505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（十）培育优秀教学项目</w:t>
      </w:r>
    </w:p>
    <w:p w14:paraId="599F860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28.充分激发教育工作者的教学热情和创新精神，促进“三新”背景下广大教师在教学理念、教学方法</w:t>
      </w:r>
      <w:r>
        <w:rPr>
          <w:rFonts w:hint="default" w:ascii="仿宋_GB2312" w:hAnsi="仿宋_GB2312" w:eastAsia="仿宋_GB2312" w:cs="仿宋_GB2312"/>
          <w:color w:val="auto"/>
          <w:sz w:val="32"/>
          <w:szCs w:val="32"/>
          <w:highlight w:val="none"/>
          <w:lang w:val="en-US" w:eastAsia="zh-CN"/>
        </w:rPr>
        <w:t>及</w:t>
      </w:r>
      <w:r>
        <w:rPr>
          <w:rFonts w:hint="eastAsia" w:ascii="仿宋_GB2312" w:hAnsi="仿宋_GB2312" w:eastAsia="仿宋_GB2312" w:cs="仿宋_GB2312"/>
          <w:color w:val="auto"/>
          <w:sz w:val="32"/>
          <w:szCs w:val="32"/>
          <w:highlight w:val="none"/>
          <w:lang w:val="en-US" w:eastAsia="zh-CN"/>
        </w:rPr>
        <w:t>教学手段等方面不断探索。进一步完善基础教育（含中职教育）教学成果奖评选标准、工作要求及</w:t>
      </w:r>
      <w:r>
        <w:rPr>
          <w:rFonts w:hint="default" w:ascii="仿宋_GB2312" w:hAnsi="仿宋_GB2312" w:eastAsia="仿宋_GB2312" w:cs="仿宋_GB2312"/>
          <w:color w:val="auto"/>
          <w:sz w:val="32"/>
          <w:szCs w:val="32"/>
          <w:highlight w:val="none"/>
          <w:lang w:val="en-US" w:eastAsia="zh-CN"/>
        </w:rPr>
        <w:t>激</w:t>
      </w:r>
      <w:r>
        <w:rPr>
          <w:rFonts w:hint="eastAsia" w:ascii="仿宋_GB2312" w:hAnsi="仿宋_GB2312" w:eastAsia="仿宋_GB2312" w:cs="仿宋_GB2312"/>
          <w:color w:val="auto"/>
          <w:sz w:val="32"/>
          <w:szCs w:val="32"/>
          <w:highlight w:val="none"/>
          <w:lang w:val="en-US" w:eastAsia="zh-CN"/>
        </w:rPr>
        <w:t>励机制。每两年举行一次市级基础教育教学成果奖评审，一等奖、二等奖、三等奖分别给予2万元、1.5万元、1万元教学成果奖励。获自治区基础教育教学成果一等奖、二等奖、三等奖的分别给予3万元、2万元、1万元教学成果奖励。获国家级基础教育教学成果特等奖、一等奖、二等奖的分别给予30万元、15万元、10万元教学成果奖励。各旗市区结合本地实际开展相关奖评活动。</w:t>
      </w:r>
    </w:p>
    <w:p w14:paraId="12F870C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lang w:val="en-US" w:eastAsia="zh-CN"/>
        </w:rPr>
        <w:t>责任单位：市教育局、市财政局、各旗市区人民政府。</w:t>
      </w:r>
    </w:p>
    <w:p w14:paraId="5668BE0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四、实施素养提升行动，促进学生身心健康发展</w:t>
      </w:r>
    </w:p>
    <w:p w14:paraId="0E506F0E">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（十一）提升学生体质健康水平</w:t>
      </w:r>
    </w:p>
    <w:p w14:paraId="06F5922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29.</w:t>
      </w:r>
      <w:r>
        <w:rPr>
          <w:rFonts w:hint="eastAsia" w:ascii="仿宋_GB2312" w:hAnsi="仿宋_GB2312" w:eastAsia="仿宋_GB2312" w:cs="仿宋_GB2312"/>
          <w:color w:val="auto"/>
          <w:kern w:val="2"/>
          <w:sz w:val="32"/>
          <w:szCs w:val="32"/>
          <w:highlight w:val="none"/>
          <w:lang w:val="en-US" w:eastAsia="zh-CN" w:bidi="ar-SA"/>
        </w:rPr>
        <w:t>全面实施学生体质强健计划，在保障国家课程计划对体育与健康教学课时基本要求的基础上，提升体育与健康课堂质效，鼓励义务教育阶段学校每天开设1节体育课。保障中小学生每天综合体育锻炼时间不低于2小时，切实提高学生身体素质。广泛开展丰富多彩的体育活动，聚焦教会、勤练、常赛，逐步完善“健康知识+基本运动技能+专项运动技能”的学校体育教学模式，让每位学生掌握1至2项运动技能。</w:t>
      </w:r>
    </w:p>
    <w:p w14:paraId="117B825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lang w:val="en-US" w:eastAsia="zh-CN"/>
        </w:rPr>
        <w:t>责任单位：市教育局、各旗市区人民政府。</w:t>
      </w:r>
    </w:p>
    <w:p w14:paraId="505364E2">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（十二）</w:t>
      </w:r>
      <w:r>
        <w:rPr>
          <w:rFonts w:hint="default" w:ascii="楷体_GB2312" w:hAnsi="楷体_GB2312" w:eastAsia="楷体_GB2312" w:cs="楷体_GB2312"/>
          <w:color w:val="auto"/>
          <w:kern w:val="2"/>
          <w:sz w:val="32"/>
          <w:szCs w:val="32"/>
          <w:highlight w:val="none"/>
          <w:lang w:val="en" w:eastAsia="zh-CN" w:bidi="ar-SA"/>
        </w:rPr>
        <w:t>推动传统特色运动</w:t>
      </w:r>
      <w:r>
        <w:rPr>
          <w:rFonts w:hint="eastAsia" w:ascii="楷体_GB2312" w:hAnsi="楷体_GB2312" w:eastAsia="楷体_GB2312" w:cs="楷体_GB2312"/>
          <w:color w:val="auto"/>
          <w:kern w:val="2"/>
          <w:sz w:val="32"/>
          <w:szCs w:val="32"/>
          <w:highlight w:val="none"/>
          <w:lang w:val="en-US" w:eastAsia="zh-CN" w:bidi="ar-SA"/>
        </w:rPr>
        <w:t>进校园</w:t>
      </w:r>
    </w:p>
    <w:p w14:paraId="04AF1EA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kern w:val="2"/>
          <w:sz w:val="32"/>
          <w:szCs w:val="32"/>
          <w:highlight w:val="none"/>
          <w:lang w:val="en-US" w:eastAsia="zh-CN" w:bidi="ar-SA"/>
        </w:rPr>
        <w:t>30.</w:t>
      </w:r>
      <w:r>
        <w:rPr>
          <w:rFonts w:hint="eastAsia" w:ascii="仿宋_GB2312" w:hAnsi="仿宋_GB2312" w:eastAsia="仿宋_GB2312" w:cs="仿宋_GB2312"/>
          <w:color w:val="auto"/>
          <w:sz w:val="32"/>
          <w:szCs w:val="32"/>
          <w:highlight w:val="none"/>
          <w:lang w:val="en-US" w:eastAsia="zh-CN"/>
        </w:rPr>
        <w:t>采取多种方式，每年引进一批冰雪运动专业、曲棍球运动专业教师。全市范围内实施冰雪运动、曲棍球运动“百千万”工程，每年培训200名冰雪运动体育教师、注册2000名冰雪运动员、20万名在校（园）生参与冰雪运动，每年培训100名曲棍球运动体育教师、注册1000名曲棍球运动员、1万名在校（园）生经常性参与曲棍球运动。</w:t>
      </w:r>
    </w:p>
    <w:p w14:paraId="104E67B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31.加强校园足球建设，依托我市135所“全国青少年校园足球特色学校”，打造我市品牌足球赛事，着力提升青少年儿童足球竞技水平。</w:t>
      </w:r>
    </w:p>
    <w:p w14:paraId="20C0AEA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32.</w:t>
      </w:r>
      <w:r>
        <w:rPr>
          <w:rFonts w:hint="eastAsia" w:ascii="仿宋_GB2312" w:hAnsi="仿宋_GB2312" w:eastAsia="仿宋_GB2312" w:cs="仿宋_GB2312"/>
          <w:color w:val="auto"/>
          <w:sz w:val="32"/>
          <w:szCs w:val="32"/>
          <w:highlight w:val="none"/>
          <w:lang w:val="en-US" w:eastAsia="zh-CN"/>
        </w:rPr>
        <w:t>要保障冰雪运动、曲棍球运动进校园经费，将所需经费列入市本级预算，各旗市区也要安排相应的专项资金，满足学校冰雪运动教学需要和校园曲棍球运动普及发展。</w:t>
      </w:r>
    </w:p>
    <w:p w14:paraId="27154FB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33.全力打通冰雪运动专业、曲棍球运动专业升学渠道，在优质的小学、初中、高中建立“升学直通车”，建设冰雪运动专业、曲棍球运动专业中职、高职、本科层次贯通培养体系。</w:t>
      </w:r>
    </w:p>
    <w:p w14:paraId="56FE2A8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责任单位：市教育局、市财政局、市委编办、市人社局、市体育局、市域内各高校、各旗市区人民政府。</w:t>
      </w:r>
    </w:p>
    <w:p w14:paraId="270510A3">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（十三）强化学生心理健康教育</w:t>
      </w:r>
    </w:p>
    <w:p w14:paraId="3175220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楷体_GB2312" w:hAnsi="楷体_GB2312" w:eastAsia="楷体_GB2312" w:cs="楷体_GB2312"/>
          <w:color w:val="auto"/>
          <w:kern w:val="2"/>
          <w:sz w:val="32"/>
          <w:szCs w:val="32"/>
          <w:highlight w:val="none"/>
          <w:lang w:val="en-US" w:eastAsia="zh-CN" w:bidi="ar-SA"/>
        </w:rPr>
        <w:t>34.</w:t>
      </w:r>
      <w:r>
        <w:rPr>
          <w:rFonts w:hint="eastAsia" w:ascii="仿宋_GB2312" w:hAnsi="仿宋_GB2312" w:eastAsia="仿宋_GB2312" w:cs="仿宋_GB2312"/>
          <w:b w:val="0"/>
          <w:bCs w:val="0"/>
          <w:color w:val="auto"/>
          <w:sz w:val="32"/>
          <w:szCs w:val="32"/>
          <w:highlight w:val="none"/>
          <w:lang w:val="en-US" w:eastAsia="zh-CN"/>
        </w:rPr>
        <w:t>强化心理健康教育师资队伍建设，加快建设心理辅导站。旗市区心理辅导中心至少配备1名专职心理教研员，各中小学校至少配备1名专职心理健康教师，规模较大的学校要按照师生比1:1000比例配备专职心理健康教师。</w:t>
      </w:r>
    </w:p>
    <w:p w14:paraId="02C6BE0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35.积极引进综合性中小学心理健康服务与管理平台，构建“预防与干预一体化，心理学与医学一体化”的全方位心理健康综合管理体系。</w:t>
      </w:r>
    </w:p>
    <w:p w14:paraId="2C64639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36.常态化开展学生心理健康测评，建立“一生一策”心理健康档案。与卫生健康部门联合建立“绿色通道”，构建预防、预警、心理危机干预、转介、治疗的学生心理问题处置机制。</w:t>
      </w:r>
    </w:p>
    <w:p w14:paraId="53306BD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37.切实加强中小学生心理健康教育工作经费保障，市级财政每年安排150万元经费，保障学生心理健康工作需要，各旗市区财政也要安排相应工作经费。</w:t>
      </w:r>
    </w:p>
    <w:p w14:paraId="5249555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责任单位：市教育局、市财政局、市卫健委、各旗市区人民政府。</w:t>
      </w:r>
    </w:p>
    <w:p w14:paraId="78370A5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（十四）全面深化学校</w:t>
      </w:r>
      <w:r>
        <w:rPr>
          <w:rFonts w:hint="default" w:ascii="楷体_GB2312" w:hAnsi="楷体_GB2312" w:eastAsia="楷体_GB2312" w:cs="楷体_GB2312"/>
          <w:color w:val="auto"/>
          <w:kern w:val="2"/>
          <w:sz w:val="32"/>
          <w:szCs w:val="32"/>
          <w:highlight w:val="none"/>
          <w:lang w:val="en" w:eastAsia="zh-CN" w:bidi="ar-SA"/>
        </w:rPr>
        <w:t>其他</w:t>
      </w:r>
      <w:r>
        <w:rPr>
          <w:rFonts w:hint="eastAsia" w:ascii="楷体_GB2312" w:hAnsi="楷体_GB2312" w:eastAsia="楷体_GB2312" w:cs="楷体_GB2312"/>
          <w:color w:val="auto"/>
          <w:kern w:val="2"/>
          <w:sz w:val="32"/>
          <w:szCs w:val="32"/>
          <w:highlight w:val="none"/>
          <w:lang w:val="en-US" w:eastAsia="zh-CN" w:bidi="ar-SA"/>
        </w:rPr>
        <w:t>教育</w:t>
      </w:r>
    </w:p>
    <w:p w14:paraId="47F4199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38.</w:t>
      </w:r>
      <w:r>
        <w:rPr>
          <w:rFonts w:hint="eastAsia" w:ascii="仿宋_GB2312" w:hAnsi="仿宋_GB2312" w:eastAsia="仿宋_GB2312" w:cs="仿宋_GB2312"/>
          <w:color w:val="auto"/>
          <w:kern w:val="2"/>
          <w:sz w:val="32"/>
          <w:szCs w:val="32"/>
          <w:highlight w:val="none"/>
          <w:lang w:val="en-US" w:eastAsia="zh-CN" w:bidi="ar-SA"/>
        </w:rPr>
        <w:t>严格落实音乐、美术、书法等课程要求，广泛开展校园艺术活动，帮助每名学生学会1-2项艺术技能，提升学生美育素养。</w:t>
      </w:r>
    </w:p>
    <w:p w14:paraId="4DF0BA8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39.中小学校设立劳动必修课程和劳动周，劳动课每周不少于1课时。加快建设校内劳动教育场所和校外劳动教育实践基地，有目的、有计划地组织学生参加日常生活劳动、生产劳动和服务性劳动，培养学生的良好劳动意识和劳动习惯。</w:t>
      </w:r>
    </w:p>
    <w:p w14:paraId="509D131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40.各学校要选聘科学副校长，原则上至少设立1名科技辅导员、至少结对1所具有一定科普功能的机构。</w:t>
      </w:r>
    </w:p>
    <w:p w14:paraId="1A0FB8B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41.教育引导青少年牢固树立国防观念，小学和初中应当将国防教育的内容纳入有关课程,将课堂教学与课外活动相结合。高中阶段学校应当在有关课程中安排专门的国防教育内容，将课堂教学与军事训练相结合。高中生安排14天军训，鼓励有条件的学校开展初中生7天军训。</w:t>
      </w:r>
    </w:p>
    <w:p w14:paraId="13F2230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责任单位：市教育局、市科技局、市科协、呼伦贝尔军分区、各旗市区人民政府。</w:t>
      </w:r>
    </w:p>
    <w:p w14:paraId="342998E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五、实施引育并举行动，激发教师队伍整体活力</w:t>
      </w:r>
    </w:p>
    <w:p w14:paraId="5E4EEA8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（十五）优化教育人才引进政策</w:t>
      </w:r>
    </w:p>
    <w:p w14:paraId="2C3B1EA9">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楷体_GB2312" w:hAnsi="楷体_GB2312" w:eastAsia="楷体_GB2312" w:cs="楷体_GB2312"/>
          <w:color w:val="auto"/>
          <w:kern w:val="2"/>
          <w:sz w:val="32"/>
          <w:szCs w:val="32"/>
          <w:highlight w:val="none"/>
          <w:lang w:val="en-US" w:eastAsia="zh-CN" w:bidi="ar-SA"/>
        </w:rPr>
        <w:t>42.</w:t>
      </w:r>
      <w:r>
        <w:rPr>
          <w:rFonts w:hint="eastAsia" w:ascii="仿宋_GB2312" w:hAnsi="仿宋_GB2312" w:eastAsia="仿宋_GB2312" w:cs="仿宋_GB2312"/>
          <w:b w:val="0"/>
          <w:bCs w:val="0"/>
          <w:color w:val="auto"/>
          <w:sz w:val="32"/>
          <w:szCs w:val="32"/>
          <w:highlight w:val="none"/>
          <w:lang w:val="en-US" w:eastAsia="zh-CN"/>
        </w:rPr>
        <w:t>市直学校引进本硕就读院校均为“双一流”建设高校或学科的全日制硕士研究生和教育部直属师范院校公费硕士师范生，且与引才学校签订5年服务期的，给予一次性安置费（税后）10万元；本科或硕士有一个阶段为“双一流”建设高校或学科的全日制硕士研究生，教育部直属师范院校公费本科师范生，本硕均为省属重点师范院校全日制硕士研究生，且与引才学校签订5年服务期的，给予一次性安置费（税后）5万元。</w:t>
      </w:r>
    </w:p>
    <w:p w14:paraId="0C2143C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43.制定实施呼伦贝尔市“鸿雁计划”教育人才回引政策，用于引进呼伦贝尔市域外在编在岗教师。各旗市区根据实际优化相应教育人才引进政策。</w:t>
      </w:r>
    </w:p>
    <w:p w14:paraId="6C0F5FB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责任单位：市教育局、市委组织部、市财政局、市人社局、市委编办、各旗市区人民政府。</w:t>
      </w:r>
    </w:p>
    <w:p w14:paraId="4B6B1CE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（十六）深化教师正向激励机制。</w:t>
      </w:r>
    </w:p>
    <w:p w14:paraId="1B08A2F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kern w:val="2"/>
          <w:sz w:val="32"/>
          <w:szCs w:val="32"/>
          <w:highlight w:val="none"/>
          <w:lang w:val="en-US" w:eastAsia="zh-CN" w:bidi="ar-SA"/>
        </w:rPr>
        <w:t>44.</w:t>
      </w:r>
      <w:r>
        <w:rPr>
          <w:rFonts w:hint="eastAsia" w:ascii="仿宋_GB2312" w:hAnsi="仿宋_GB2312" w:eastAsia="仿宋_GB2312" w:cs="仿宋_GB2312"/>
          <w:color w:val="auto"/>
          <w:sz w:val="32"/>
          <w:szCs w:val="32"/>
          <w:highlight w:val="none"/>
          <w:lang w:val="en-US" w:eastAsia="zh-CN"/>
        </w:rPr>
        <w:t>呼伦贝尔市中小学班主任津贴标准由每月600元增长至每月800元，资金分别由市、旗（市区）两级财政承担。积极推进教育系统绩效工资制度改革。</w:t>
      </w:r>
    </w:p>
    <w:p w14:paraId="4ED4FC0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45.鼓励社会力量捐赠教育，成立教育基金会，用于支持教育发展、表彰奖励优秀教师、帮扶生活困难、大病致贫教师等。</w:t>
      </w:r>
    </w:p>
    <w:p w14:paraId="1959B2E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46.关爱教师身心健康，每年组织教师免费进行一次身体健康检查，畅通就医绿色通道，建立教师健康档案。</w:t>
      </w:r>
    </w:p>
    <w:p w14:paraId="13C4376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47.积极营造良好的尊师重教氛围，定期选树表彰一批优秀教师、优秀班主任、优秀教育工作者、教育系统先进集体等。</w:t>
      </w:r>
    </w:p>
    <w:p w14:paraId="21D9679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责任单位：市教育局、市财政局、市人社局、市民政局、市总工会、市工商联、红十字会、市卫健委、各旗市区人民政府。</w:t>
      </w:r>
    </w:p>
    <w:p w14:paraId="1EFF57E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default" w:ascii="楷体_GB2312" w:hAnsi="楷体_GB2312" w:eastAsia="楷体_GB2312" w:cs="楷体_GB2312"/>
          <w:color w:val="auto"/>
          <w:kern w:val="2"/>
          <w:sz w:val="32"/>
          <w:szCs w:val="32"/>
          <w:highlight w:val="none"/>
          <w:lang w:val="en" w:eastAsia="zh-CN" w:bidi="ar-SA"/>
        </w:rPr>
      </w:pPr>
      <w:r>
        <w:rPr>
          <w:rFonts w:hint="eastAsia" w:ascii="楷体_GB2312" w:hAnsi="楷体_GB2312" w:eastAsia="楷体_GB2312" w:cs="楷体_GB2312"/>
          <w:color w:val="auto"/>
          <w:kern w:val="2"/>
          <w:sz w:val="32"/>
          <w:szCs w:val="32"/>
          <w:highlight w:val="none"/>
          <w:lang w:val="en" w:eastAsia="zh-CN" w:bidi="ar-SA"/>
        </w:rPr>
        <w:t>（十七）</w:t>
      </w:r>
      <w:r>
        <w:rPr>
          <w:rFonts w:hint="default" w:ascii="楷体_GB2312" w:hAnsi="楷体_GB2312" w:eastAsia="楷体_GB2312" w:cs="楷体_GB2312"/>
          <w:color w:val="auto"/>
          <w:kern w:val="2"/>
          <w:sz w:val="32"/>
          <w:szCs w:val="32"/>
          <w:highlight w:val="none"/>
          <w:lang w:val="en" w:eastAsia="zh-CN" w:bidi="ar-SA"/>
        </w:rPr>
        <w:t>深入</w:t>
      </w:r>
      <w:r>
        <w:rPr>
          <w:rFonts w:hint="eastAsia" w:ascii="楷体_GB2312" w:hAnsi="楷体_GB2312" w:eastAsia="楷体_GB2312" w:cs="楷体_GB2312"/>
          <w:color w:val="auto"/>
          <w:kern w:val="2"/>
          <w:sz w:val="32"/>
          <w:szCs w:val="32"/>
          <w:highlight w:val="none"/>
          <w:lang w:val="en-US" w:eastAsia="zh-CN" w:bidi="ar-SA"/>
        </w:rPr>
        <w:t>实施“四名”培养工程</w:t>
      </w:r>
    </w:p>
    <w:p w14:paraId="6699CD95">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kern w:val="2"/>
          <w:sz w:val="32"/>
          <w:szCs w:val="32"/>
          <w:highlight w:val="none"/>
          <w:lang w:val="en-US" w:eastAsia="zh-CN" w:bidi="ar-SA"/>
        </w:rPr>
        <w:t>48.</w:t>
      </w:r>
      <w:r>
        <w:rPr>
          <w:rFonts w:hint="eastAsia" w:ascii="仿宋_GB2312" w:hAnsi="仿宋_GB2312" w:eastAsia="仿宋_GB2312" w:cs="仿宋_GB2312"/>
          <w:color w:val="auto"/>
          <w:sz w:val="32"/>
          <w:szCs w:val="32"/>
          <w:highlight w:val="none"/>
          <w:lang w:val="en-US" w:eastAsia="zh-CN"/>
        </w:rPr>
        <w:t>强化名校长、名师、名班主任、名教研员队伍建设</w:t>
      </w:r>
      <w:r>
        <w:rPr>
          <w:rFonts w:hint="default" w:ascii="仿宋_GB2312" w:hAnsi="仿宋_GB2312" w:eastAsia="仿宋_GB2312" w:cs="仿宋_GB2312"/>
          <w:color w:val="auto"/>
          <w:sz w:val="32"/>
          <w:szCs w:val="32"/>
          <w:highlight w:val="none"/>
          <w:lang w:val="en" w:eastAsia="zh-CN"/>
        </w:rPr>
        <w:t>，</w:t>
      </w:r>
      <w:r>
        <w:rPr>
          <w:rFonts w:hint="eastAsia" w:ascii="仿宋_GB2312" w:hAnsi="仿宋_GB2312" w:eastAsia="仿宋_GB2312" w:cs="仿宋_GB2312"/>
          <w:color w:val="auto"/>
          <w:sz w:val="32"/>
          <w:szCs w:val="32"/>
          <w:highlight w:val="none"/>
          <w:lang w:val="en-US" w:eastAsia="zh-CN"/>
        </w:rPr>
        <w:t>通过三年培养期，共打造不少于6个名校长、12个名师、8个名班主任、4个名教研员市级工作室，市级财政分别给予3万元经费支持。各旗市区结合本地实际组织开展此项工作，“四名”培养工程旨在建立健全培养和引领工作机制，带动区域内校长、教师、班主任、教研员队伍素质整体提升。</w:t>
      </w:r>
    </w:p>
    <w:p w14:paraId="42CD448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责任单位：市教育局、市财政局、各旗市区人民政府。</w:t>
      </w:r>
    </w:p>
    <w:p w14:paraId="41E9F765">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firstLine="640" w:firstLineChars="200"/>
        <w:textAlignment w:val="auto"/>
        <w:rPr>
          <w:rFonts w:hint="eastAsia" w:ascii="黑体" w:hAnsi="黑体" w:eastAsia="黑体" w:cs="黑体"/>
          <w:color w:val="auto"/>
          <w:kern w:val="2"/>
          <w:sz w:val="32"/>
          <w:szCs w:val="32"/>
          <w:highlight w:val="none"/>
          <w:lang w:val="en-US" w:eastAsia="zh-CN" w:bidi="ar-SA"/>
        </w:rPr>
      </w:pPr>
      <w:r>
        <w:rPr>
          <w:rFonts w:hint="eastAsia" w:ascii="黑体" w:hAnsi="黑体" w:eastAsia="黑体" w:cs="黑体"/>
          <w:color w:val="auto"/>
          <w:kern w:val="2"/>
          <w:sz w:val="32"/>
          <w:szCs w:val="32"/>
          <w:highlight w:val="none"/>
          <w:lang w:val="en-US" w:eastAsia="zh-CN" w:bidi="ar-SA"/>
        </w:rPr>
        <w:t>六、实施保障提优行动，优化教育事业发展环境</w:t>
      </w:r>
    </w:p>
    <w:p w14:paraId="6B7766A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（十八）优化教师队伍管理</w:t>
      </w:r>
    </w:p>
    <w:p w14:paraId="7EA9EA7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楷体_GB2312" w:hAnsi="楷体_GB2312" w:eastAsia="楷体_GB2312" w:cs="楷体_GB2312"/>
          <w:color w:val="auto"/>
          <w:kern w:val="2"/>
          <w:sz w:val="32"/>
          <w:szCs w:val="32"/>
          <w:highlight w:val="none"/>
          <w:lang w:val="en-US" w:eastAsia="zh-CN" w:bidi="ar-SA"/>
        </w:rPr>
        <w:t>49.</w:t>
      </w:r>
      <w:r>
        <w:rPr>
          <w:rFonts w:hint="eastAsia" w:ascii="仿宋_GB2312" w:hAnsi="仿宋_GB2312" w:eastAsia="仿宋_GB2312" w:cs="仿宋_GB2312"/>
          <w:color w:val="auto"/>
          <w:sz w:val="32"/>
          <w:szCs w:val="32"/>
          <w:highlight w:val="none"/>
          <w:lang w:val="en-US" w:eastAsia="zh-CN"/>
        </w:rPr>
        <w:t>建立中小学教师编制周转池。按照“保障发展、规模适度、动态调整”的原则建立中小学校教职工编制“周转池”，用于保障本地区中小学教育高质量发展需求。</w:t>
      </w:r>
    </w:p>
    <w:p w14:paraId="5672444F">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50.积极推进义务教育教师“县管校聘”改革，推进试点地区先行先试。</w:t>
      </w:r>
    </w:p>
    <w:p w14:paraId="5549E7D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sz w:val="32"/>
          <w:szCs w:val="32"/>
          <w:highlight w:val="none"/>
          <w:lang w:val="en-US" w:eastAsia="zh-CN"/>
        </w:rPr>
        <w:t>51.</w:t>
      </w:r>
      <w:r>
        <w:rPr>
          <w:rFonts w:hint="eastAsia" w:ascii="仿宋_GB2312" w:hAnsi="仿宋_GB2312" w:eastAsia="仿宋_GB2312" w:cs="仿宋_GB2312"/>
          <w:color w:val="auto"/>
          <w:kern w:val="2"/>
          <w:sz w:val="32"/>
          <w:szCs w:val="32"/>
          <w:highlight w:val="none"/>
          <w:lang w:val="en-US" w:eastAsia="zh-CN" w:bidi="ar-SA"/>
        </w:rPr>
        <w:t>优化乡村教师队伍，建立与乡镇常住人口变化相协调的基本公共服务供给机制，确保乡镇常住人口、学龄人口和教师规模比例基本合理。</w:t>
      </w:r>
    </w:p>
    <w:p w14:paraId="7311DF7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kern w:val="2"/>
          <w:sz w:val="32"/>
          <w:szCs w:val="32"/>
          <w:highlight w:val="none"/>
          <w:lang w:val="en-US" w:eastAsia="zh-CN" w:bidi="ar-SA"/>
        </w:rPr>
        <w:t>52.</w:t>
      </w:r>
      <w:r>
        <w:rPr>
          <w:rFonts w:hint="eastAsia" w:ascii="仿宋_GB2312" w:hAnsi="仿宋_GB2312" w:eastAsia="仿宋_GB2312" w:cs="仿宋_GB2312"/>
          <w:color w:val="auto"/>
          <w:sz w:val="32"/>
          <w:szCs w:val="32"/>
          <w:highlight w:val="none"/>
          <w:lang w:val="en-US" w:eastAsia="zh-CN"/>
        </w:rPr>
        <w:t>加强师德师风建设，建立健全师德师风考核评价机制，实行师德失范“一票否决制”。</w:t>
      </w:r>
    </w:p>
    <w:p w14:paraId="422013EA">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0" w:firstLine="640" w:firstLineChars="200"/>
        <w:textAlignment w:val="auto"/>
        <w:rPr>
          <w:rFonts w:hint="default" w:ascii="仿宋_GB2312" w:hAnsi="仿宋_GB2312" w:eastAsia="仿宋_GB2312" w:cs="仿宋_GB2312"/>
          <w:color w:val="auto"/>
          <w:sz w:val="32"/>
          <w:szCs w:val="32"/>
          <w:highlight w:val="none"/>
          <w:lang w:eastAsia="zh-CN"/>
        </w:rPr>
      </w:pPr>
      <w:r>
        <w:rPr>
          <w:rFonts w:hint="eastAsia" w:ascii="楷体_GB2312" w:hAnsi="楷体_GB2312" w:eastAsia="楷体_GB2312" w:cs="楷体_GB2312"/>
          <w:color w:val="auto"/>
          <w:sz w:val="32"/>
          <w:szCs w:val="32"/>
          <w:highlight w:val="none"/>
          <w:lang w:val="en-US" w:eastAsia="zh-CN"/>
        </w:rPr>
        <w:t>责任单位：市教育局、市委编办、市人社局、市财政局、各旗市区人民政府。</w:t>
      </w:r>
    </w:p>
    <w:p w14:paraId="12F559AC">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（十九）加快教育数字化建设</w:t>
      </w:r>
    </w:p>
    <w:p w14:paraId="51A9D095">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53.充分利用现有资源，分级建设呼伦贝尔市教育专网，加快实现中小学固定宽带网络万兆到旗市区、千兆到校、百兆到班。</w:t>
      </w:r>
    </w:p>
    <w:p w14:paraId="39F4EEE8">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54.完善呼伦贝尔市数字校园建设标准，开展数字校园达标验收，到</w:t>
      </w:r>
      <w:r>
        <w:rPr>
          <w:rFonts w:hint="eastAsia" w:ascii="仿宋_GB2312" w:hAnsi="仿宋_GB2312" w:eastAsia="仿宋_GB2312" w:cs="仿宋_GB2312"/>
          <w:color w:val="auto"/>
          <w:kern w:val="2"/>
          <w:sz w:val="32"/>
          <w:szCs w:val="32"/>
          <w:highlight w:val="none"/>
          <w:u w:val="none"/>
          <w:lang w:val="en-US" w:eastAsia="zh-CN" w:bidi="ar-SA"/>
        </w:rPr>
        <w:t>2025年末</w:t>
      </w:r>
      <w:r>
        <w:rPr>
          <w:rFonts w:hint="eastAsia" w:ascii="仿宋_GB2312" w:hAnsi="仿宋_GB2312" w:eastAsia="仿宋_GB2312" w:cs="仿宋_GB2312"/>
          <w:color w:val="auto"/>
          <w:kern w:val="2"/>
          <w:sz w:val="32"/>
          <w:szCs w:val="32"/>
          <w:highlight w:val="none"/>
          <w:lang w:val="en-US" w:eastAsia="zh-CN" w:bidi="ar-SA"/>
        </w:rPr>
        <w:t>实现数字校园全覆盖</w:t>
      </w:r>
      <w:r>
        <w:rPr>
          <w:rFonts w:hint="eastAsia" w:ascii="楷体_GB2312" w:hAnsi="楷体_GB2312" w:eastAsia="楷体_GB2312" w:cs="楷体_GB2312"/>
          <w:color w:val="auto"/>
          <w:sz w:val="32"/>
          <w:szCs w:val="32"/>
          <w:highlight w:val="none"/>
          <w:lang w:val="en-US" w:eastAsia="zh-CN"/>
        </w:rPr>
        <w:t>。</w:t>
      </w:r>
      <w:r>
        <w:rPr>
          <w:rFonts w:hint="eastAsia" w:ascii="仿宋_GB2312" w:hAnsi="仿宋_GB2312" w:eastAsia="仿宋_GB2312" w:cs="仿宋_GB2312"/>
          <w:color w:val="auto"/>
          <w:kern w:val="2"/>
          <w:sz w:val="32"/>
          <w:szCs w:val="32"/>
          <w:highlight w:val="none"/>
          <w:lang w:val="en-US" w:eastAsia="zh-CN" w:bidi="ar-SA"/>
        </w:rPr>
        <w:t>实施农村牧区小规模学校和教学点数字化提升工程，缩小区域、校际数字鸿沟。</w:t>
      </w:r>
    </w:p>
    <w:p w14:paraId="6CDCD631">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55.提升数字人才培养能力，推进中小学信息科技课程建设，将数字素养教育融入中小学课程体系。</w:t>
      </w:r>
    </w:p>
    <w:p w14:paraId="231F5D15">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楷体_GB2312" w:hAnsi="楷体_GB2312" w:eastAsia="楷体_GB2312" w:cs="楷体_GB2312"/>
          <w:color w:val="auto"/>
          <w:sz w:val="32"/>
          <w:szCs w:val="32"/>
          <w:highlight w:val="none"/>
          <w:lang w:val="en-US" w:eastAsia="zh-CN"/>
        </w:rPr>
        <w:t>责任单位：市教育局、市工信局、市财政局、市发改委、市委网信办、各旗市区人民政府。</w:t>
      </w:r>
    </w:p>
    <w:p w14:paraId="61EFFBD3">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textAlignment w:val="auto"/>
        <w:rPr>
          <w:rFonts w:hint="eastAsia" w:ascii="楷体_GB2312" w:hAnsi="楷体_GB2312" w:eastAsia="楷体_GB2312" w:cs="楷体_GB2312"/>
          <w:color w:val="auto"/>
          <w:kern w:val="2"/>
          <w:sz w:val="32"/>
          <w:szCs w:val="32"/>
          <w:highlight w:val="none"/>
          <w:lang w:val="en-US" w:eastAsia="zh-CN" w:bidi="ar-SA"/>
        </w:rPr>
      </w:pPr>
      <w:r>
        <w:rPr>
          <w:rFonts w:hint="eastAsia" w:ascii="楷体_GB2312" w:hAnsi="楷体_GB2312" w:eastAsia="楷体_GB2312" w:cs="楷体_GB2312"/>
          <w:color w:val="auto"/>
          <w:kern w:val="2"/>
          <w:sz w:val="32"/>
          <w:szCs w:val="32"/>
          <w:highlight w:val="none"/>
          <w:lang w:val="en-US" w:eastAsia="zh-CN" w:bidi="ar-SA"/>
        </w:rPr>
        <w:t>（二十）加强平安校园建设</w:t>
      </w:r>
    </w:p>
    <w:p w14:paraId="1599C7F9">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楷体_GB2312" w:hAnsi="楷体_GB2312" w:eastAsia="楷体_GB2312" w:cs="楷体_GB2312"/>
          <w:color w:val="auto"/>
          <w:kern w:val="2"/>
          <w:sz w:val="32"/>
          <w:szCs w:val="32"/>
          <w:highlight w:val="none"/>
          <w:lang w:val="en-US" w:eastAsia="zh-CN" w:bidi="ar-SA"/>
        </w:rPr>
        <w:t>56.</w:t>
      </w:r>
      <w:r>
        <w:rPr>
          <w:rFonts w:hint="eastAsia" w:ascii="仿宋_GB2312" w:hAnsi="仿宋_GB2312" w:eastAsia="仿宋_GB2312" w:cs="仿宋_GB2312"/>
          <w:b w:val="0"/>
          <w:bCs w:val="0"/>
          <w:color w:val="auto"/>
          <w:sz w:val="32"/>
          <w:szCs w:val="32"/>
          <w:highlight w:val="none"/>
          <w:lang w:val="en-US" w:eastAsia="zh-CN"/>
        </w:rPr>
        <w:t>完善校园安防体系建设，加大对平安校园建设的投入，保障校园安防建设的经费需求。按要求配齐配足专职校园安全管理人员，强化校园安全人员能力提升。</w:t>
      </w:r>
    </w:p>
    <w:p w14:paraId="34790EF9">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57.市、旗（市区）两级政府以购买服务等方式统一为学校提供安保服务，推进校园保安队伍年轻化、专业化。实施“专职保安员配备率，校园封闭化管理，护学岗建设，一键式紧急报警、视频监控系统达标率”校园安防建设“四个100%”质量提升行动。</w:t>
      </w:r>
    </w:p>
    <w:p w14:paraId="1DA9404C">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58.建立完善事故隐患自查自改常态化机制。完善学生欺凌和暴力行为早发现、早预防、早控制机制，加强防溺水、食品、消防、交通等安全教育，完善校园安全纠纷多元化解机制和安全风险社会化分担机制。</w:t>
      </w:r>
    </w:p>
    <w:p w14:paraId="29AB5F94">
      <w:pPr>
        <w:keepNext w:val="0"/>
        <w:keepLines w:val="0"/>
        <w:pageBreakBefore w:val="0"/>
        <w:widowControl w:val="0"/>
        <w:numPr>
          <w:ilvl w:val="0"/>
          <w:numId w:val="0"/>
        </w:numPr>
        <w:kinsoku/>
        <w:wordWrap/>
        <w:overflowPunct/>
        <w:topLinePunct w:val="0"/>
        <w:autoSpaceDE/>
        <w:autoSpaceDN/>
        <w:bidi w:val="0"/>
        <w:adjustRightInd/>
        <w:snapToGrid/>
        <w:spacing w:line="570" w:lineRule="exact"/>
        <w:ind w:firstLine="640" w:firstLineChars="200"/>
        <w:textAlignment w:val="auto"/>
        <w:rPr>
          <w:rFonts w:hint="eastAsia" w:ascii="楷体_GB2312" w:hAnsi="楷体_GB2312" w:eastAsia="楷体_GB2312" w:cs="楷体_GB2312"/>
          <w:color w:val="auto"/>
          <w:sz w:val="32"/>
          <w:szCs w:val="32"/>
          <w:highlight w:val="none"/>
          <w:lang w:val="en-US" w:eastAsia="zh-CN"/>
        </w:rPr>
      </w:pPr>
      <w:r>
        <w:rPr>
          <w:rFonts w:hint="eastAsia" w:ascii="楷体_GB2312" w:hAnsi="楷体_GB2312" w:eastAsia="楷体_GB2312" w:cs="楷体_GB2312"/>
          <w:color w:val="auto"/>
          <w:sz w:val="32"/>
          <w:szCs w:val="32"/>
          <w:highlight w:val="none"/>
          <w:lang w:val="en-US" w:eastAsia="zh-CN"/>
        </w:rPr>
        <w:t>责任单位：</w:t>
      </w:r>
      <w:r>
        <w:rPr>
          <w:rFonts w:hint="default" w:ascii="楷体_GB2312" w:hAnsi="楷体_GB2312" w:eastAsia="楷体_GB2312" w:cs="楷体_GB2312"/>
          <w:color w:val="auto"/>
          <w:sz w:val="32"/>
          <w:szCs w:val="32"/>
          <w:highlight w:val="none"/>
          <w:lang w:val="en-US" w:eastAsia="zh-CN"/>
        </w:rPr>
        <w:t>校园安全及学生群体安全委员会成员单位、市</w:t>
      </w:r>
      <w:r>
        <w:rPr>
          <w:rFonts w:hint="eastAsia" w:ascii="楷体_GB2312" w:hAnsi="楷体_GB2312" w:eastAsia="楷体_GB2312" w:cs="楷体_GB2312"/>
          <w:color w:val="auto"/>
          <w:sz w:val="32"/>
          <w:szCs w:val="32"/>
          <w:highlight w:val="none"/>
          <w:lang w:val="en-US" w:eastAsia="zh-CN"/>
        </w:rPr>
        <w:t>委</w:t>
      </w:r>
      <w:r>
        <w:rPr>
          <w:rFonts w:hint="default" w:ascii="楷体_GB2312" w:hAnsi="楷体_GB2312" w:eastAsia="楷体_GB2312" w:cs="楷体_GB2312"/>
          <w:color w:val="auto"/>
          <w:sz w:val="32"/>
          <w:szCs w:val="32"/>
          <w:highlight w:val="none"/>
          <w:lang w:val="en-US" w:eastAsia="zh-CN"/>
        </w:rPr>
        <w:t>政法委、市委编办、市财政局、市红十字会、市域内各高校，各旗市区人民政府</w:t>
      </w:r>
      <w:r>
        <w:rPr>
          <w:rFonts w:hint="eastAsia" w:ascii="楷体_GB2312" w:hAnsi="楷体_GB2312" w:eastAsia="楷体_GB2312" w:cs="楷体_GB2312"/>
          <w:color w:val="auto"/>
          <w:sz w:val="32"/>
          <w:szCs w:val="32"/>
          <w:highlight w:val="none"/>
          <w:lang w:val="en-US" w:eastAsia="zh-CN"/>
        </w:rPr>
        <w:t>。</w:t>
      </w:r>
    </w:p>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FF3BE81-4951-4899-B10C-67E97000204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embedRegular r:id="rId2" w:fontKey="{3C24FF12-5935-4C51-9029-E2CE66670493}"/>
  </w:font>
  <w:font w:name="楷体_GB2312">
    <w:panose1 w:val="02010609030101010101"/>
    <w:charset w:val="86"/>
    <w:family w:val="auto"/>
    <w:pitch w:val="default"/>
    <w:sig w:usb0="00000001" w:usb1="080E0000" w:usb2="00000000" w:usb3="00000000" w:csb0="00040000" w:csb1="00000000"/>
    <w:embedRegular r:id="rId3" w:fontKey="{D9918FF2-C304-4212-A4B3-9E881316B606}"/>
  </w:font>
  <w:font w:name="仿宋_GB2312">
    <w:panose1 w:val="02010609030101010101"/>
    <w:charset w:val="86"/>
    <w:family w:val="auto"/>
    <w:pitch w:val="default"/>
    <w:sig w:usb0="00000001" w:usb1="080E0000" w:usb2="00000000" w:usb3="00000000" w:csb0="00040000" w:csb1="00000000"/>
    <w:embedRegular r:id="rId4" w:fontKey="{5FAC827B-7566-45E6-AF7E-F9A8DD63EE3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47266">
    <w:pPr>
      <w:pStyle w:val="2"/>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192A5C3">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vert="horz" wrap="none" lIns="0" tIns="0" rIns="0" bIns="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HVxTJ/TAQAAngMAAA4AAAAAAAAAAQAgAAAAHwEA&#10;AGRycy9lMm9Eb2MueG1sUEsFBgAAAAAGAAYAWQEAAGQFAAAAAA==&#10;">
              <v:fill on="f" focussize="0,0"/>
              <v:stroke on="f"/>
              <v:imagedata o:title=""/>
              <o:lock v:ext="edit" aspectratio="f"/>
              <v:textbox inset="0mm,0mm,0mm,0mm" style="mso-fit-shape-to-text:t;">
                <w:txbxContent>
                  <w:p w14:paraId="5192A5C3">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C77DA"/>
    <w:rsid w:val="0A2F2630"/>
    <w:rsid w:val="0D3E6367"/>
    <w:rsid w:val="0DEB0761"/>
    <w:rsid w:val="0E6059EA"/>
    <w:rsid w:val="106372FC"/>
    <w:rsid w:val="1177586B"/>
    <w:rsid w:val="11E224D7"/>
    <w:rsid w:val="145921C2"/>
    <w:rsid w:val="178B4654"/>
    <w:rsid w:val="17C92852"/>
    <w:rsid w:val="19823668"/>
    <w:rsid w:val="1A2F6E1F"/>
    <w:rsid w:val="1D034389"/>
    <w:rsid w:val="1D0440E0"/>
    <w:rsid w:val="21916597"/>
    <w:rsid w:val="22732183"/>
    <w:rsid w:val="228E4DC3"/>
    <w:rsid w:val="2367099D"/>
    <w:rsid w:val="285B11C8"/>
    <w:rsid w:val="29E601BE"/>
    <w:rsid w:val="2AF61758"/>
    <w:rsid w:val="2B9C43CE"/>
    <w:rsid w:val="2DBA6E22"/>
    <w:rsid w:val="2E5152A7"/>
    <w:rsid w:val="2EEF22BA"/>
    <w:rsid w:val="313D54D0"/>
    <w:rsid w:val="31781AB3"/>
    <w:rsid w:val="38122FA3"/>
    <w:rsid w:val="39411067"/>
    <w:rsid w:val="397F20A0"/>
    <w:rsid w:val="39CD7260"/>
    <w:rsid w:val="3B9545AB"/>
    <w:rsid w:val="3F310B59"/>
    <w:rsid w:val="43707776"/>
    <w:rsid w:val="48687D03"/>
    <w:rsid w:val="49E05655"/>
    <w:rsid w:val="4D7F23C8"/>
    <w:rsid w:val="51226553"/>
    <w:rsid w:val="536E6F26"/>
    <w:rsid w:val="55F52A41"/>
    <w:rsid w:val="56BD2BF0"/>
    <w:rsid w:val="57F23727"/>
    <w:rsid w:val="592769B8"/>
    <w:rsid w:val="5AF61465"/>
    <w:rsid w:val="5D300DA0"/>
    <w:rsid w:val="63E034FB"/>
    <w:rsid w:val="68EF2AED"/>
    <w:rsid w:val="696073DC"/>
    <w:rsid w:val="6B940A4D"/>
    <w:rsid w:val="6E9B22CF"/>
    <w:rsid w:val="6EC61895"/>
    <w:rsid w:val="741E7BF4"/>
    <w:rsid w:val="753B1551"/>
    <w:rsid w:val="763B3A90"/>
    <w:rsid w:val="781150DF"/>
    <w:rsid w:val="79AB4A88"/>
    <w:rsid w:val="7A38614F"/>
    <w:rsid w:val="7CEF5DB9"/>
    <w:rsid w:val="7E193276"/>
    <w:rsid w:val="7F4504C8"/>
    <w:rsid w:val="F65D32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6411</Words>
  <Characters>6590</Characters>
  <Lines>0</Lines>
  <Paragraphs>35</Paragraphs>
  <TotalTime>6</TotalTime>
  <ScaleCrop>false</ScaleCrop>
  <LinksUpToDate>false</LinksUpToDate>
  <CharactersWithSpaces>6590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2024-12-15T04:41:00Z</dcterms:created>
  <dc:creator>Administrator</dc:creator>
  <cp:lastModifiedBy>~</cp:lastModifiedBy>
  <cp:lastPrinted>2024-12-30T13:26:00Z</cp:lastPrinted>
  <dcterms:modified xsi:type="dcterms:W3CDTF">2025-01-03T09:07:05Z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2C78159E15D24F109BB18366523DEDA0_13</vt:lpwstr>
  </property>
  <property fmtid="{D5CDD505-2E9C-101B-9397-08002B2CF9AE}" pid="4" name="KSOTemplateDocerSaveRecord">
    <vt:lpwstr>eyJoZGlkIjoiYjk5NDA1MWQ2YjQ2YjY1ZjA4ODA2NTRiNDJmMGM5MjIiLCJ1c2VySWQiOiI3NTkxMDcxMDAifQ==</vt:lpwstr>
  </property>
</Properties>
</file>