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bookmarkStart w:id="1" w:name="_GoBack"/>
      <w:bookmarkEnd w:id="1"/>
      <w:bookmarkStart w:id="0" w:name="_Toc24724711"/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（八）财政预决算领域基层政务公开标准目录</w:t>
      </w:r>
      <w:bookmarkEnd w:id="0"/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720"/>
        <w:gridCol w:w="720"/>
        <w:gridCol w:w="3240"/>
        <w:gridCol w:w="1800"/>
        <w:gridCol w:w="1620"/>
        <w:gridCol w:w="900"/>
        <w:gridCol w:w="1800"/>
        <w:gridCol w:w="72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黑体" w:hAnsi="宋体" w:eastAsia="黑体" w:cs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32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6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324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一般公共预算：①一般公共预算收入表。②一般公共预算支出表。③一般公共预算本级支出表。④一般公共预算本级基本支出表。⑤一般公共预算税收返还和转移支付表。⑥政府一般债务限额和余额情况表。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政府性基金预算：①政府性基金收入表。②政府性基金支出表。③本级政府性基金支出表。④政府性基金转移支付表。⑤政府专项债务限额和余额情况表。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国有资本经营预算：①国有资本经营预算收入表。②国有资本经营预算支出表。③本级国有资本经营预算支出表。④对下安排转移支付的应当公开国有资本经营预算转移支付表。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社会保险基金预算：①社会保险基金收入表。②社会保险基金支出表。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一般公共预算、政府性基金预算、国有资本经营预算和社会保险基金预算报表中涉及本级支出的，应当公开到功能分类项级科目。本级一般公共预算基本支出应当公开到经济性质分类款级科目，专项转移支付应当分地区、分项目公开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对财政转移支付安排、举借政府债务等重要事项进行解释、说明，并公开重大政策和重点项目等绩效目标。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本级汇总的一般公共预算“三公”经费，包括预算总额，以及“因公出国（境）费”“公务用车购置及运行费”（区分“公务用车购置费”“公务用车运行费”两项）、“公务接待费”分项数额，并对增减变化情况进行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政府预算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政府债务限额、余额、使用安排及还本付息等信息，包括：①随同预算公开上一年度本地区、本级及所属地区地方政府债务限额及余额（或余额预计执行数），以及本地区和本级上一年度地方政府债券（含再融资债券）发行及还本付息额（或预计执行数）、本年度地方政府债券还本付息预算数等；②随同调整预算公开当年本地区及本级地方政府债务限额、本级新增地方政府债券资金使用安排等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一般公共预算：①一般公共预算收入表。②一般公共预算支出表。③一般公共预算本级支出表。④一般公共预算本级基本支出表。⑤一般公共预算税收返还和转移支付表。⑥政府一般债务限额和余额情况表。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、《财政部关于印发&lt;地方预决算公开操作规程的通知&gt;》、《财政部关于印发&lt;地方政府债务信息公开办法（试行）&gt;的通知》等法律法规和文件规定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政府性基金预算：①政府性基金收入表。②政府性基金支出表。③本级政府性基金支出表。④政府性基金转移支付表。⑤政府专项债务限额和余额情况表。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国有资本经营预算：①国有资本经营预算收入表。②国有资本经营预算支出表。③本级国有资本经营预算支出表。④对下安排转移支付的应当公开国有资本经营预算转移支付表。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社会保险基金预算：①社会保险基金收入表。②社会保险基金支出表。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一般公共预算、政府性基金预算、国有资本经营预算和社会保险基金预算报表中涉及本级支出的，应当公开到功能分类项级科目。本级一般公共预算基本支出应当公开到经济性质分类款级科目，专项转移支付应当分地区、分项目公开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政府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对财政转移支付安排、举借政府债务、预算绩效工作开展情况等重要事项进行解释、说明，并公开重大政策和重点项目绩效执行结果。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同上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本级人民代表大会或其常务委员会批准后20日内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地方各级财政部门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■财政部门网站公开平台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本级汇总的一般公共预算“三公”经费，包括预算总额，以及“因公出国（境）费”“公务用车购置及运行费”（区分“公务用车购置费”“公务用车运行费”两项）“公务接待费”分项数额，并对增减变化情况（与预算对比）进行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地方政府债务限额、余额、使用安排及还本付息等信息，包括：上年末本地区、本级及所属地区地方政府债务限额、余额决算数，地方政府债券发行、还本付息决算数，以及债券资金使用安排等。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预算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收支总体情况表：①部门收支总体情况表。②部门收入总体情况表。③部门支出总体情况表。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地方各级预算部门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财政拨款收支情况表：①财政拨款收支总体情况表。②一般公共预算支出情况表。③一般公共预算基本支出情况表。④一般公共预算“三公”经费支出情况表。⑤政府性基金预算支出情况表。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一般公共预算支出情况表公开到功能分类项级科目。一般公共预算基本支出表公开到经济分类款级科目。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“三公”经费支出表按“因公出国（境）费”“公务用车购置及运行费”“公务接待费”公开，其中，“公务用车购置及运行费”应当细化到“公务用车购置费”“公务用车运行费”两个项目，并对增减变化情况进行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部门职责、机构设置情况、预算收支增减变化、机关运行经费安排以及政府采购（主要包括部门政府采购预算总金额和货物、工程、服务采购的预算金额）等情况的说明，并对专业性较强的名词进行解释。结合工作进展情况，逐步公开国有资产占用、重点项目预算的绩效目标等情况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收支总体情况表：①部门收支总体情况表。②部门收入总体情况表。③部门支出总体情况表。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地方各级预算部门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财政拨款收支情况表：①财政拨款收支总体情况表。②一般公共预算支出情况表。③一般公共预算基本支出情况表。④一般公共预算“三公”经费支出情况表。⑤政府性基金预算支出情况表。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一般公共预算支出情况表公开到功能分类项级科目。一般公共预算基本支出表公开到经济分类款级科目。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一般公共预算“三公”经费支出表按“因公出国（境）费”“公务用车购置及运行费”“公务接待费”公开，其中，“公务用车购置及运行费”应当细化到“公务用车购置费”“公务用车运行费”两个项目，并对增减变化情况（与预算对比）进行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财政预决算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部门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br w:type="textWrapping"/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决算</w:t>
            </w: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部门职责、机构设置情况、决算收支增减变化、机关运行经费安排以及政府采购（主要包括部门政府采购支出总金额，货物、工程、服务的采购金额，授予中小企业的合同金额及占政府采购支出总金额的比重）等情况的说明，并对专业性较强的名词进行解释。结合工作进展情况，逐步公开国有资产占用、绩效评价结果等情况。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《预算法》、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、《财政部关于印发&lt;地方预决算公开操作规程的通知&gt;》等法律法规和文件规定</w:t>
            </w:r>
          </w:p>
        </w:tc>
        <w:tc>
          <w:tcPr>
            <w:tcW w:w="162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本级政府财政部门批复后20日内</w:t>
            </w:r>
          </w:p>
        </w:tc>
        <w:tc>
          <w:tcPr>
            <w:tcW w:w="9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地方各级预算部门</w:t>
            </w:r>
          </w:p>
        </w:tc>
        <w:tc>
          <w:tcPr>
            <w:tcW w:w="1800" w:type="dxa"/>
            <w:vMerge w:val="restart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■部门网站</w:t>
            </w:r>
          </w:p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widowControl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■政府公报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vAlign w:val="center"/>
          </w:tcPr>
          <w:p>
            <w:pPr>
              <w:widowControl/>
              <w:textAlignment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没有数据的表格应当列出空表并说明。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62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 w:val="continue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xMDM0MDIxNzE5ZGQ2OWI5MDg3YzRlOTAwZWNlYjUifQ=="/>
    <w:docVar w:name="KSO_WPS_MARK_KEY" w:val="e274332f-b010-43ee-8631-d78c9cce522d"/>
  </w:docVars>
  <w:rsids>
    <w:rsidRoot w:val="00416393"/>
    <w:rsid w:val="001E6D63"/>
    <w:rsid w:val="002967AA"/>
    <w:rsid w:val="002E0878"/>
    <w:rsid w:val="003B2C77"/>
    <w:rsid w:val="00416393"/>
    <w:rsid w:val="00612901"/>
    <w:rsid w:val="008438B0"/>
    <w:rsid w:val="00902A01"/>
    <w:rsid w:val="00A41EEC"/>
    <w:rsid w:val="00DE1F6E"/>
    <w:rsid w:val="00FA002F"/>
    <w:rsid w:val="1D1C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nhideWhenUsed="0" w:uiPriority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uiPriority w:val="0"/>
    <w:rPr>
      <w:sz w:val="18"/>
      <w:szCs w:val="18"/>
    </w:rPr>
  </w:style>
  <w:style w:type="paragraph" w:styleId="5">
    <w:name w:val="footer"/>
    <w:basedOn w:val="1"/>
    <w:link w:val="22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uiPriority w:val="0"/>
  </w:style>
  <w:style w:type="character" w:styleId="13">
    <w:name w:val="Hyperlink"/>
    <w:uiPriority w:val="0"/>
    <w:rPr>
      <w:color w:val="0000FF"/>
      <w:u w:val="single"/>
    </w:rPr>
  </w:style>
  <w:style w:type="character" w:styleId="14">
    <w:name w:val="annotation reference"/>
    <w:semiHidden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CFC20-8978-4B13-827A-712FEB1D7C0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3267</Words>
  <Characters>3275</Characters>
  <Lines>26</Lines>
  <Paragraphs>7</Paragraphs>
  <TotalTime>0</TotalTime>
  <ScaleCrop>false</ScaleCrop>
  <LinksUpToDate>false</LinksUpToDate>
  <CharactersWithSpaces>3281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2020-03-06T06:55:00Z</dcterms:created>
  <dc:creator>tai yuzhu</dc:creator>
  <cp:lastModifiedBy>演示人</cp:lastModifiedBy>
  <dcterms:modified xsi:type="dcterms:W3CDTF">2024-08-21T08:41:08Z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6FE8D33C3A554E809728A3C3545B2354_12</vt:lpwstr>
  </property>
</Properties>
</file>