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方正小标宋_GBK" w:eastAsia="方正小标宋_GBK"/>
          <w:b w:val="0"/>
          <w:sz w:val="30"/>
          <w:szCs w:val="30"/>
        </w:rPr>
      </w:pPr>
      <w:bookmarkStart w:id="1" w:name="_GoBack"/>
      <w:bookmarkEnd w:id="1"/>
      <w:bookmarkStart w:id="0" w:name="_Toc24724713"/>
      <w:r>
        <w:rPr>
          <w:rFonts w:hint="eastAsia" w:ascii="方正小标宋_GBK" w:eastAsia="方正小标宋_GBK"/>
          <w:b w:val="0"/>
          <w:sz w:val="30"/>
          <w:szCs w:val="30"/>
        </w:rPr>
        <w:t>（十）社会保险领域基层政务公开标准目录</w:t>
      </w:r>
      <w:bookmarkEnd w:id="0"/>
    </w:p>
    <w:tbl>
      <w:tblPr>
        <w:tblStyle w:val="9"/>
        <w:tblW w:w="15716" w:type="dxa"/>
        <w:tblInd w:w="-8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20"/>
        <w:gridCol w:w="1080"/>
        <w:gridCol w:w="3060"/>
        <w:gridCol w:w="2036"/>
        <w:gridCol w:w="1620"/>
        <w:gridCol w:w="1024"/>
        <w:gridCol w:w="1496"/>
        <w:gridCol w:w="720"/>
        <w:gridCol w:w="720"/>
        <w:gridCol w:w="540"/>
        <w:gridCol w:w="72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pPr>
              <w:widowControl/>
              <w:jc w:val="center"/>
              <w:rPr>
                <w:rFonts w:hint="eastAsia" w:ascii="黑体" w:hAnsi="Times New Roman" w:eastAsia="黑体"/>
                <w:color w:val="000000"/>
                <w:kern w:val="0"/>
                <w:sz w:val="22"/>
              </w:rPr>
            </w:pPr>
            <w:r>
              <w:rPr>
                <w:rFonts w:hint="eastAsia" w:ascii="黑体" w:hAnsi="宋体" w:eastAsia="黑体"/>
                <w:color w:val="000000"/>
                <w:kern w:val="0"/>
                <w:sz w:val="22"/>
              </w:rPr>
              <w:t>序号</w:t>
            </w:r>
          </w:p>
        </w:tc>
        <w:tc>
          <w:tcPr>
            <w:tcW w:w="1800"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公开事项</w:t>
            </w:r>
          </w:p>
        </w:tc>
        <w:tc>
          <w:tcPr>
            <w:tcW w:w="306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2036"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公开依据</w:t>
            </w:r>
          </w:p>
        </w:tc>
        <w:tc>
          <w:tcPr>
            <w:tcW w:w="162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公开时限</w:t>
            </w:r>
          </w:p>
        </w:tc>
        <w:tc>
          <w:tcPr>
            <w:tcW w:w="1024"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公开主体</w:t>
            </w:r>
          </w:p>
        </w:tc>
        <w:tc>
          <w:tcPr>
            <w:tcW w:w="1496" w:type="dxa"/>
            <w:vMerge w:val="restart"/>
            <w:shd w:val="clear" w:color="auto" w:fill="auto"/>
            <w:vAlign w:val="center"/>
          </w:tcPr>
          <w:p>
            <w:pPr>
              <w:widowControl/>
              <w:jc w:val="center"/>
              <w:rPr>
                <w:rFonts w:ascii="黑体" w:hAnsi="宋体" w:eastAsia="黑体" w:cs="宋体"/>
                <w:kern w:val="0"/>
                <w:sz w:val="22"/>
              </w:rPr>
            </w:pPr>
            <w:r>
              <w:rPr>
                <w:rFonts w:hint="eastAsia" w:ascii="黑体" w:hAnsi="宋体" w:eastAsia="黑体" w:cs="宋体"/>
                <w:kern w:val="0"/>
                <w:sz w:val="22"/>
              </w:rPr>
              <w:t>公开渠道和载体</w:t>
            </w:r>
          </w:p>
        </w:tc>
        <w:tc>
          <w:tcPr>
            <w:tcW w:w="1440"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公开对象</w:t>
            </w:r>
          </w:p>
        </w:tc>
        <w:tc>
          <w:tcPr>
            <w:tcW w:w="1260"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公开方式</w:t>
            </w:r>
          </w:p>
        </w:tc>
        <w:tc>
          <w:tcPr>
            <w:tcW w:w="1440"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widowControl/>
              <w:jc w:val="left"/>
              <w:rPr>
                <w:rFonts w:ascii="Times New Roman" w:hAnsi="Times New Roman"/>
                <w:color w:val="000000"/>
                <w:kern w:val="0"/>
                <w:sz w:val="15"/>
                <w:szCs w:val="15"/>
              </w:rPr>
            </w:pP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一级事项</w:t>
            </w:r>
          </w:p>
        </w:tc>
        <w:tc>
          <w:tcPr>
            <w:tcW w:w="108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二级事项</w:t>
            </w:r>
          </w:p>
        </w:tc>
        <w:tc>
          <w:tcPr>
            <w:tcW w:w="3060" w:type="dxa"/>
            <w:vMerge w:val="continue"/>
            <w:vAlign w:val="center"/>
          </w:tcPr>
          <w:p>
            <w:pPr>
              <w:widowControl/>
              <w:rPr>
                <w:rFonts w:ascii="黑体" w:hAnsi="宋体" w:eastAsia="黑体" w:cs="宋体"/>
                <w:color w:val="000000"/>
                <w:kern w:val="0"/>
                <w:sz w:val="22"/>
              </w:rPr>
            </w:pPr>
          </w:p>
        </w:tc>
        <w:tc>
          <w:tcPr>
            <w:tcW w:w="2036" w:type="dxa"/>
            <w:vMerge w:val="continue"/>
            <w:vAlign w:val="center"/>
          </w:tcPr>
          <w:p>
            <w:pPr>
              <w:widowControl/>
              <w:jc w:val="left"/>
              <w:rPr>
                <w:rFonts w:ascii="黑体" w:hAnsi="宋体" w:eastAsia="黑体" w:cs="宋体"/>
                <w:color w:val="000000"/>
                <w:kern w:val="0"/>
                <w:sz w:val="22"/>
              </w:rPr>
            </w:pPr>
          </w:p>
        </w:tc>
        <w:tc>
          <w:tcPr>
            <w:tcW w:w="1620" w:type="dxa"/>
            <w:vMerge w:val="continue"/>
            <w:vAlign w:val="center"/>
          </w:tcPr>
          <w:p>
            <w:pPr>
              <w:widowControl/>
              <w:jc w:val="left"/>
              <w:rPr>
                <w:rFonts w:ascii="黑体" w:hAnsi="宋体" w:eastAsia="黑体" w:cs="宋体"/>
                <w:color w:val="000000"/>
                <w:kern w:val="0"/>
                <w:sz w:val="22"/>
              </w:rPr>
            </w:pPr>
          </w:p>
        </w:tc>
        <w:tc>
          <w:tcPr>
            <w:tcW w:w="1024" w:type="dxa"/>
            <w:vMerge w:val="continue"/>
            <w:vAlign w:val="center"/>
          </w:tcPr>
          <w:p>
            <w:pPr>
              <w:widowControl/>
              <w:jc w:val="left"/>
              <w:rPr>
                <w:rFonts w:ascii="黑体" w:hAnsi="宋体" w:eastAsia="黑体" w:cs="宋体"/>
                <w:color w:val="000000"/>
                <w:kern w:val="0"/>
                <w:sz w:val="22"/>
              </w:rPr>
            </w:pPr>
          </w:p>
        </w:tc>
        <w:tc>
          <w:tcPr>
            <w:tcW w:w="1496" w:type="dxa"/>
            <w:vMerge w:val="continue"/>
            <w:vAlign w:val="center"/>
          </w:tcPr>
          <w:p>
            <w:pPr>
              <w:widowControl/>
              <w:jc w:val="left"/>
              <w:rPr>
                <w:rFonts w:ascii="黑体" w:hAnsi="宋体" w:eastAsia="黑体" w:cs="宋体"/>
                <w:kern w:val="0"/>
                <w:sz w:val="22"/>
              </w:rPr>
            </w:pP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全社会</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特定群众</w:t>
            </w:r>
          </w:p>
        </w:tc>
        <w:tc>
          <w:tcPr>
            <w:tcW w:w="54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依申请公开</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县级</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1</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社会保险登记</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机关事业单位社会保险登记</w:t>
            </w:r>
          </w:p>
        </w:tc>
        <w:tc>
          <w:tcPr>
            <w:tcW w:w="3060" w:type="dxa"/>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、《社会保险法》、《国务院关于机关事业单位工作人员养老保险制度改革的决定》</w:t>
            </w:r>
          </w:p>
        </w:tc>
        <w:tc>
          <w:tcPr>
            <w:tcW w:w="162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2</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工程建设项目办理工伤保险参保登记</w:t>
            </w:r>
          </w:p>
        </w:tc>
        <w:tc>
          <w:tcPr>
            <w:tcW w:w="3060" w:type="dxa"/>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、《社会保险法》、《社会保险费征缴暂行条例》</w:t>
            </w:r>
          </w:p>
        </w:tc>
        <w:tc>
          <w:tcPr>
            <w:tcW w:w="162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3</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社会保险登记</w:t>
            </w:r>
          </w:p>
          <w:p>
            <w:pP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参保单位注销</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、《社会保险法》、《社会保险费征缴暂行条例》</w:t>
            </w:r>
          </w:p>
          <w:p>
            <w:pPr>
              <w:rPr>
                <w:rFonts w:ascii="仿宋_GB2312" w:hAnsi="宋体" w:eastAsia="仿宋_GB2312"/>
                <w:color w:val="000000"/>
                <w:sz w:val="18"/>
                <w:szCs w:val="18"/>
              </w:rPr>
            </w:pPr>
          </w:p>
        </w:tc>
        <w:tc>
          <w:tcPr>
            <w:tcW w:w="162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p>
            <w:pPr>
              <w:rPr>
                <w:rFonts w:ascii="仿宋_GB2312" w:hAnsi="宋体" w:eastAsia="仿宋_GB2312"/>
                <w:color w:val="000000"/>
                <w:sz w:val="18"/>
                <w:szCs w:val="18"/>
              </w:rPr>
            </w:pP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p>
            <w:pPr>
              <w:rPr>
                <w:rFonts w:ascii="仿宋_GB2312" w:hAnsi="宋体" w:eastAsia="仿宋_GB2312"/>
                <w:color w:val="000000"/>
                <w:sz w:val="18"/>
                <w:szCs w:val="18"/>
              </w:rPr>
            </w:pP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4</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职工参保登记</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5</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城乡居民养老保险参保登记</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6</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社会保险参保信息维护</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单位（项目）基本信息变更</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、《社会保险法》、《社会保险费征缴暂行条例》</w:t>
            </w:r>
          </w:p>
        </w:tc>
        <w:tc>
          <w:tcPr>
            <w:tcW w:w="162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7</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个人基本信息变更</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8</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社会保险参保信息维护</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养老保险待遇发放账户维护申请</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、《社会保险法》、《社会保险费征缴暂行条例》</w:t>
            </w:r>
          </w:p>
          <w:p>
            <w:pPr>
              <w:rPr>
                <w:rFonts w:ascii="仿宋_GB2312" w:hAnsi="宋体" w:eastAsia="仿宋_GB2312"/>
                <w:color w:val="000000"/>
                <w:sz w:val="18"/>
                <w:szCs w:val="18"/>
              </w:rPr>
            </w:pPr>
          </w:p>
        </w:tc>
        <w:tc>
          <w:tcPr>
            <w:tcW w:w="162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p>
            <w:pPr>
              <w:rPr>
                <w:rFonts w:ascii="仿宋_GB2312" w:hAnsi="宋体" w:eastAsia="仿宋_GB2312"/>
                <w:color w:val="000000"/>
                <w:sz w:val="18"/>
                <w:szCs w:val="18"/>
              </w:rPr>
            </w:pP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p>
            <w:pPr>
              <w:rPr>
                <w:rFonts w:ascii="仿宋_GB2312" w:hAnsi="宋体" w:eastAsia="仿宋_GB2312"/>
                <w:color w:val="000000"/>
                <w:sz w:val="18"/>
                <w:szCs w:val="18"/>
              </w:rPr>
            </w:pP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9</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工伤保险待遇发放账户维护申请</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10</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失业保险待遇发放账户维护申请</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11</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社会保险缴费申报</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缴费人员增减申报</w:t>
            </w:r>
          </w:p>
        </w:tc>
        <w:tc>
          <w:tcPr>
            <w:tcW w:w="3060" w:type="dxa"/>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、《社会保险法》、《社会保险费征缴暂行条例》</w:t>
            </w:r>
          </w:p>
        </w:tc>
        <w:tc>
          <w:tcPr>
            <w:tcW w:w="162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12</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社会保险缴费申报</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社会保险缴费申报与变更</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w:t>
            </w:r>
            <w:r>
              <w:rPr>
                <w:rFonts w:hint="eastAsia" w:ascii="仿宋_GB2312" w:hAnsi="宋体" w:eastAsia="仿宋_GB2312"/>
                <w:color w:val="000000"/>
                <w:sz w:val="18"/>
                <w:szCs w:val="18"/>
              </w:rPr>
              <w:br w:type="page"/>
            </w:r>
            <w:r>
              <w:rPr>
                <w:rFonts w:hint="eastAsia" w:ascii="仿宋_GB2312" w:hAnsi="宋体" w:eastAsia="仿宋_GB2312"/>
                <w:color w:val="000000"/>
                <w:sz w:val="18"/>
                <w:szCs w:val="18"/>
              </w:rPr>
              <w:t>、《社会保险费征缴暂行条例》</w:t>
            </w:r>
          </w:p>
          <w:p>
            <w:pPr>
              <w:rPr>
                <w:rFonts w:ascii="仿宋_GB2312" w:hAnsi="宋体" w:eastAsia="仿宋_GB2312"/>
                <w:color w:val="000000"/>
                <w:sz w:val="18"/>
                <w:szCs w:val="18"/>
              </w:rPr>
            </w:pPr>
          </w:p>
        </w:tc>
        <w:tc>
          <w:tcPr>
            <w:tcW w:w="162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p>
            <w:pPr>
              <w:rPr>
                <w:rFonts w:ascii="仿宋_GB2312" w:hAnsi="宋体" w:eastAsia="仿宋_GB2312"/>
                <w:color w:val="000000"/>
                <w:sz w:val="18"/>
                <w:szCs w:val="18"/>
              </w:rPr>
            </w:pP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p>
            <w:pPr>
              <w:rPr>
                <w:rFonts w:ascii="仿宋_GB2312" w:hAnsi="宋体" w:eastAsia="仿宋_GB2312"/>
                <w:color w:val="000000"/>
                <w:sz w:val="18"/>
                <w:szCs w:val="18"/>
              </w:rPr>
            </w:pP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13</w:t>
            </w:r>
          </w:p>
        </w:tc>
        <w:tc>
          <w:tcPr>
            <w:tcW w:w="720" w:type="dxa"/>
            <w:vMerge w:val="continue"/>
            <w:shd w:val="clear" w:color="auto" w:fill="auto"/>
            <w:vAlign w:val="center"/>
          </w:tcPr>
          <w:p>
            <w:pPr>
              <w:jc w:val="cente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社会保险费延缴申请</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49" w:hRule="atLeas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14</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社会保险费欠费补缴申报</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15</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社会保险参保缴费记录查询</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单位参保证明查询打印</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br w:type="page"/>
            </w:r>
            <w:r>
              <w:rPr>
                <w:rFonts w:hint="eastAsia" w:ascii="仿宋_GB2312" w:hAnsi="宋体" w:eastAsia="仿宋_GB2312"/>
                <w:color w:val="000000"/>
                <w:sz w:val="18"/>
                <w:szCs w:val="18"/>
              </w:rPr>
              <w:t>、《社会保险法》</w:t>
            </w:r>
            <w:r>
              <w:rPr>
                <w:rFonts w:hint="eastAsia" w:ascii="仿宋_GB2312" w:hAnsi="宋体" w:eastAsia="仿宋_GB2312"/>
                <w:color w:val="000000"/>
                <w:sz w:val="18"/>
                <w:szCs w:val="18"/>
              </w:rPr>
              <w:br w:type="page"/>
            </w:r>
            <w:r>
              <w:rPr>
                <w:rFonts w:hint="eastAsia" w:ascii="仿宋_GB2312" w:hAnsi="宋体" w:eastAsia="仿宋_GB2312"/>
                <w:color w:val="000000"/>
                <w:sz w:val="18"/>
                <w:szCs w:val="18"/>
              </w:rPr>
              <w:t>、《社会保险费征缴暂行条例》</w:t>
            </w:r>
          </w:p>
        </w:tc>
        <w:tc>
          <w:tcPr>
            <w:tcW w:w="162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16</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个人权益记录查询打印</w:t>
            </w:r>
          </w:p>
        </w:tc>
        <w:tc>
          <w:tcPr>
            <w:tcW w:w="3060" w:type="dxa"/>
            <w:vMerge w:val="continue"/>
            <w:vAlign w:val="center"/>
          </w:tcPr>
          <w:p>
            <w:pPr>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17</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养老保险服务</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职工正常退休(职)申请</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、《社会保险法》、《劳动保险条例》</w:t>
            </w:r>
          </w:p>
          <w:p>
            <w:pPr>
              <w:rPr>
                <w:rFonts w:ascii="仿宋_GB2312" w:hAnsi="宋体" w:eastAsia="仿宋_GB2312"/>
                <w:color w:val="000000"/>
                <w:sz w:val="18"/>
                <w:szCs w:val="18"/>
              </w:rPr>
            </w:pPr>
          </w:p>
        </w:tc>
        <w:tc>
          <w:tcPr>
            <w:tcW w:w="162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p>
            <w:pPr>
              <w:rPr>
                <w:rFonts w:hint="eastAsia" w:ascii="仿宋_GB2312" w:hAnsi="宋体" w:eastAsia="仿宋_GB2312"/>
                <w:color w:val="000000"/>
                <w:sz w:val="18"/>
                <w:szCs w:val="18"/>
              </w:rPr>
            </w:pP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p>
            <w:pPr>
              <w:rPr>
                <w:rFonts w:hint="eastAsia" w:ascii="仿宋_GB2312" w:hAnsi="宋体" w:eastAsia="仿宋_GB2312"/>
                <w:color w:val="000000"/>
                <w:sz w:val="18"/>
                <w:szCs w:val="18"/>
              </w:rPr>
            </w:pP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18</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城乡居民养老保险待遇申领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19</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暂停养老保险待遇申请</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20</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恢复养老保险待遇申请</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21</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个人账户一次性待遇申领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22</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丧葬补助金、抚恤金申领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23</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养老保险服务</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居民养老保险注销登记</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《信息公开条例》、《社会保险法》、《劳动保险条例》</w:t>
            </w:r>
          </w:p>
        </w:tc>
        <w:tc>
          <w:tcPr>
            <w:tcW w:w="162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24</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遗属待遇申领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25</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病残津贴申领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hint="eastAsia"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26</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城镇职工基本养老保险关系转移接续申请</w:t>
            </w:r>
          </w:p>
        </w:tc>
        <w:tc>
          <w:tcPr>
            <w:tcW w:w="3060" w:type="dxa"/>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、《社会保险法》、《国务院办公厅关于转发人力资源社会保障部财政部城镇企业职工基本养老保险关系转移接续暂行办法的通知》</w:t>
            </w:r>
          </w:p>
        </w:tc>
        <w:tc>
          <w:tcPr>
            <w:tcW w:w="162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27</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机关事业单位养老保险关系转移接续申请</w:t>
            </w:r>
          </w:p>
        </w:tc>
        <w:tc>
          <w:tcPr>
            <w:tcW w:w="3060" w:type="dxa"/>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、《社会保险法》、《人力资源社会保障部财政部关于机关事业单位基本养老保险关系和职业年金转移接续有关问题的通知》</w:t>
            </w:r>
          </w:p>
        </w:tc>
        <w:tc>
          <w:tcPr>
            <w:tcW w:w="162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28</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养老保险服务</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城乡居民基本养老保险关系转移接续申请</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、《社会保险法》、《劳动保险条例》</w:t>
            </w:r>
          </w:p>
        </w:tc>
        <w:tc>
          <w:tcPr>
            <w:tcW w:w="162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29</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机关事业单位基本养老保险与城镇企业职工基本养老保险互转申请</w:t>
            </w:r>
          </w:p>
        </w:tc>
        <w:tc>
          <w:tcPr>
            <w:tcW w:w="3060" w:type="dxa"/>
            <w:vMerge w:val="continue"/>
            <w:vAlign w:val="center"/>
          </w:tcPr>
          <w:p>
            <w:pPr>
              <w:jc w:val="left"/>
              <w:rPr>
                <w:rFonts w:ascii="仿宋_GB2312" w:hAnsi="宋体" w:eastAsia="仿宋_GB2312"/>
                <w:color w:val="000000"/>
                <w:sz w:val="18"/>
                <w:szCs w:val="18"/>
              </w:rPr>
            </w:pPr>
          </w:p>
        </w:tc>
        <w:tc>
          <w:tcPr>
            <w:tcW w:w="2036"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、《社会保险法》、《人力资源社会保障部财政部关于机关事业单位基本养老保险关系和职业年金转移接续有关问题的通知》</w:t>
            </w:r>
          </w:p>
        </w:tc>
        <w:tc>
          <w:tcPr>
            <w:tcW w:w="162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30</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 xml:space="preserve">城镇职工基本养老保险与城乡居民基本养老保险制度衔接申请  </w:t>
            </w:r>
          </w:p>
        </w:tc>
        <w:tc>
          <w:tcPr>
            <w:tcW w:w="3060" w:type="dxa"/>
            <w:vMerge w:val="continue"/>
            <w:vAlign w:val="center"/>
          </w:tcPr>
          <w:p>
            <w:pPr>
              <w:jc w:val="left"/>
              <w:rPr>
                <w:rFonts w:ascii="仿宋_GB2312" w:hAnsi="宋体" w:eastAsia="仿宋_GB2312"/>
                <w:color w:val="000000"/>
                <w:sz w:val="18"/>
                <w:szCs w:val="18"/>
              </w:rPr>
            </w:pPr>
          </w:p>
        </w:tc>
        <w:tc>
          <w:tcPr>
            <w:tcW w:w="2036"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、《社会保险法》《人力资源社会保障部财政部关于印发＜城乡养老保险制度衔接暂行办法＞的通知》</w:t>
            </w:r>
          </w:p>
        </w:tc>
        <w:tc>
          <w:tcPr>
            <w:tcW w:w="162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31</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养老保险服务</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军地养老保险关系转移接续申请</w:t>
            </w:r>
          </w:p>
        </w:tc>
        <w:tc>
          <w:tcPr>
            <w:tcW w:w="3060" w:type="dxa"/>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、《社会保险法》、《人力资源社会保障部财政部总参谋部总政治部总后勤部关于军人退役基本养老保险关系转移接续有关问题的通知》</w:t>
            </w:r>
          </w:p>
        </w:tc>
        <w:tc>
          <w:tcPr>
            <w:tcW w:w="162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32</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多重养老保险关系个人账户退费</w:t>
            </w:r>
          </w:p>
        </w:tc>
        <w:tc>
          <w:tcPr>
            <w:tcW w:w="3060" w:type="dxa"/>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、《社会保险法》、《人力资源和社会保障部＜关于贯彻落实国务院办公厅转发城镇企业职工基本养老保险关系转移接续暂行办法的通知》</w:t>
            </w:r>
          </w:p>
        </w:tc>
        <w:tc>
          <w:tcPr>
            <w:tcW w:w="162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33</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工伤保险服务</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工伤事故备案</w:t>
            </w:r>
          </w:p>
        </w:tc>
        <w:tc>
          <w:tcPr>
            <w:tcW w:w="3060" w:type="dxa"/>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、《社会保险法》、《工伤保险条例》</w:t>
            </w:r>
          </w:p>
        </w:tc>
        <w:tc>
          <w:tcPr>
            <w:tcW w:w="162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34</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工伤保险服务</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用人单位办理工伤登记</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、《社会保险法》、《工伤保险条例》</w:t>
            </w:r>
          </w:p>
        </w:tc>
        <w:tc>
          <w:tcPr>
            <w:tcW w:w="162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page"/>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35</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变更工伤登记</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36</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协议医疗机构的确认</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37</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协议康复机构的确认</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38</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辅助器具配置协议机构的确认</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39</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异地居住就医申请确认</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40</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异地工伤就医报告</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41</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工伤保险服务</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旧伤复发申请确认</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、《社会保险法》、《工伤保险条例》</w:t>
            </w:r>
          </w:p>
        </w:tc>
        <w:tc>
          <w:tcPr>
            <w:tcW w:w="162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42</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转诊转院申请确认</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43</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工伤康复申请确认</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44</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工伤康复治疗期延长申请</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45</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辅助器具配置或更换申请</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46</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辅助器具异地配置申请</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47</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停工留薪期确认和延长确认</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48</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工伤保险服务</w:t>
            </w:r>
          </w:p>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工伤医疗（康复）费用申报</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、《社会保险法》、《工伤保险条例》</w:t>
            </w:r>
          </w:p>
        </w:tc>
        <w:tc>
          <w:tcPr>
            <w:tcW w:w="162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49</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住院伙食补助费申领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50</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统筹地区以外交通、食宿费申领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51</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一次性工伤医疗补助金申请</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52</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辅助器具配置（更换）费用申报</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53</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工伤保险服务</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伤残待遇申领（一次性伤残补助金、伤残津贴和生活护理费）</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、《社会保险法》、《工伤保险条例》</w:t>
            </w:r>
          </w:p>
        </w:tc>
        <w:tc>
          <w:tcPr>
            <w:tcW w:w="162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54</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一次性工亡补助金（含生活困难，预支50%确认）、丧葬补助金申领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55</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供养亲属抚恤金申领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56</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工伤保险待遇变更</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57</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失业保险服务</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失业保险金申领</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、《社会保险法》、《失业保险条例》</w:t>
            </w:r>
          </w:p>
        </w:tc>
        <w:tc>
          <w:tcPr>
            <w:tcW w:w="162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58</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丧葬补助金和抚恤金申领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59</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职业培训补贴申领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60</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职业介绍补贴申领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61</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农民合同制工人一次性生活补助申领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9" w:hRule="atLeas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62</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代缴基本医疗保险费</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63</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失业保险服务</w:t>
            </w:r>
          </w:p>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价格临时补贴申领</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、《社会保险法》、《失业保险条例》</w:t>
            </w:r>
          </w:p>
        </w:tc>
        <w:tc>
          <w:tcPr>
            <w:tcW w:w="162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64</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失业保险关系转移接续</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65</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稳岗补贴申领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66</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技能提升补贴申领</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67</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东部7省（市）扩大支出试点项目</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68</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企业年金方案备案</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企业年金方案备案</w:t>
            </w:r>
          </w:p>
        </w:tc>
        <w:tc>
          <w:tcPr>
            <w:tcW w:w="3060" w:type="dxa"/>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、《社会保险法》、《企业年金办法》</w:t>
            </w:r>
          </w:p>
        </w:tc>
        <w:tc>
          <w:tcPr>
            <w:tcW w:w="1620"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69</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企业年金方案备案</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企业年金方案重要条款变更备案</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、《社会保险法》、《企业年金办法》</w:t>
            </w:r>
          </w:p>
        </w:tc>
        <w:tc>
          <w:tcPr>
            <w:tcW w:w="162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w:t>
            </w: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70</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企业年金方案终止备案</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71</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社会保障卡服务</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社会保障卡申领</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、《社会保险法》、《人力资源和社会保障部关于印发“中华人民共和国社会保障卡”管理办法的通知》</w:t>
            </w:r>
          </w:p>
        </w:tc>
        <w:tc>
          <w:tcPr>
            <w:tcW w:w="162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人力资源社会保障部门（或社会保障卡管理部门）</w:t>
            </w:r>
          </w:p>
        </w:tc>
        <w:tc>
          <w:tcPr>
            <w:tcW w:w="149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72</w:t>
            </w:r>
          </w:p>
        </w:tc>
        <w:tc>
          <w:tcPr>
            <w:tcW w:w="720" w:type="dxa"/>
            <w:vMerge w:val="continue"/>
            <w:shd w:val="clear" w:color="auto" w:fill="auto"/>
            <w:vAlign w:val="center"/>
          </w:tcPr>
          <w:p>
            <w:pPr>
              <w:jc w:val="cente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社会保障卡启用（含社会保障卡银行账户激活）</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73</w:t>
            </w:r>
          </w:p>
        </w:tc>
        <w:tc>
          <w:tcPr>
            <w:tcW w:w="720" w:type="dxa"/>
            <w:vMerge w:val="continue"/>
            <w:shd w:val="clear" w:color="auto" w:fill="auto"/>
            <w:vAlign w:val="center"/>
          </w:tcPr>
          <w:p>
            <w:pPr>
              <w:jc w:val="cente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社会保障卡应用状态查询</w:t>
            </w:r>
          </w:p>
        </w:tc>
        <w:tc>
          <w:tcPr>
            <w:tcW w:w="3060" w:type="dxa"/>
            <w:vMerge w:val="continue"/>
            <w:vAlign w:val="center"/>
          </w:tcPr>
          <w:p>
            <w:pPr>
              <w:jc w:val="left"/>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74</w:t>
            </w:r>
          </w:p>
        </w:tc>
        <w:tc>
          <w:tcPr>
            <w:tcW w:w="720" w:type="dxa"/>
            <w:vMerge w:val="restart"/>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社会保障卡服务</w:t>
            </w: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社会保障卡信息变更（非关键信息）</w:t>
            </w:r>
          </w:p>
        </w:tc>
        <w:tc>
          <w:tcPr>
            <w:tcW w:w="3060"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事项名称、事项简述、办理材料、办理方式、办理时限、结果送达、收费依据及标准、办事时间、办理机构及地点、咨询查询途径、监督投诉渠道</w:t>
            </w:r>
          </w:p>
        </w:tc>
        <w:tc>
          <w:tcPr>
            <w:tcW w:w="2036"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、《社会保险法》、《人力资源和社会保障部关于印发“中华人民共和国社会保障卡”管理办法的通知》</w:t>
            </w:r>
          </w:p>
        </w:tc>
        <w:tc>
          <w:tcPr>
            <w:tcW w:w="162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公开事项信息形成或变更之日起20个工作日内公开</w:t>
            </w:r>
          </w:p>
        </w:tc>
        <w:tc>
          <w:tcPr>
            <w:tcW w:w="1024"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人力资源社会保障部门（或社会保障卡管理部门）</w:t>
            </w:r>
          </w:p>
        </w:tc>
        <w:tc>
          <w:tcPr>
            <w:tcW w:w="1496" w:type="dxa"/>
            <w:vMerge w:val="restart"/>
            <w:vAlign w:val="center"/>
          </w:tcPr>
          <w:p>
            <w:pPr>
              <w:jc w:val="left"/>
              <w:rPr>
                <w:rFonts w:ascii="仿宋_GB2312" w:hAnsi="宋体" w:eastAsia="仿宋_GB2312"/>
                <w:color w:val="000000"/>
                <w:sz w:val="18"/>
                <w:szCs w:val="18"/>
              </w:rPr>
            </w:pPr>
            <w:r>
              <w:rPr>
                <w:rFonts w:hint="eastAsia" w:ascii="仿宋_GB2312" w:hAnsi="宋体" w:eastAsia="仿宋_GB2312"/>
                <w:color w:val="000000"/>
                <w:sz w:val="18"/>
                <w:szCs w:val="18"/>
              </w:rPr>
              <w:t>■政府网站   ■政务服务中心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■基层公共服务平台</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75</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社会保障卡密码修改与重置</w:t>
            </w:r>
          </w:p>
        </w:tc>
        <w:tc>
          <w:tcPr>
            <w:tcW w:w="3060" w:type="dxa"/>
            <w:vMerge w:val="continue"/>
            <w:vAlign w:val="center"/>
          </w:tcPr>
          <w:p>
            <w:pPr>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76</w:t>
            </w:r>
          </w:p>
        </w:tc>
        <w:tc>
          <w:tcPr>
            <w:tcW w:w="720" w:type="dxa"/>
            <w:vMerge w:val="continue"/>
            <w:shd w:val="clear" w:color="auto" w:fill="auto"/>
            <w:vAlign w:val="center"/>
          </w:tcPr>
          <w:p>
            <w:pPr>
              <w:jc w:val="cente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社会保障卡挂失与解挂</w:t>
            </w:r>
          </w:p>
        </w:tc>
        <w:tc>
          <w:tcPr>
            <w:tcW w:w="3060" w:type="dxa"/>
            <w:vMerge w:val="continue"/>
            <w:vAlign w:val="center"/>
          </w:tcPr>
          <w:p>
            <w:pPr>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77</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社会保障卡补换、换领、换发</w:t>
            </w:r>
          </w:p>
        </w:tc>
        <w:tc>
          <w:tcPr>
            <w:tcW w:w="3060" w:type="dxa"/>
            <w:vMerge w:val="continue"/>
            <w:vAlign w:val="center"/>
          </w:tcPr>
          <w:p>
            <w:pPr>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78</w:t>
            </w:r>
          </w:p>
        </w:tc>
        <w:tc>
          <w:tcPr>
            <w:tcW w:w="720" w:type="dxa"/>
            <w:vMerge w:val="continue"/>
            <w:shd w:val="clear" w:color="auto" w:fill="auto"/>
            <w:vAlign w:val="center"/>
          </w:tcPr>
          <w:p>
            <w:pPr>
              <w:rPr>
                <w:rFonts w:ascii="仿宋_GB2312" w:hAnsi="宋体" w:eastAsia="仿宋_GB2312"/>
                <w:color w:val="000000"/>
                <w:sz w:val="18"/>
                <w:szCs w:val="18"/>
              </w:rPr>
            </w:pPr>
          </w:p>
        </w:tc>
        <w:tc>
          <w:tcPr>
            <w:tcW w:w="1080" w:type="dxa"/>
            <w:shd w:val="clear" w:color="auto" w:fill="auto"/>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社会保障卡注销</w:t>
            </w:r>
          </w:p>
        </w:tc>
        <w:tc>
          <w:tcPr>
            <w:tcW w:w="3060" w:type="dxa"/>
            <w:vMerge w:val="continue"/>
            <w:vAlign w:val="center"/>
          </w:tcPr>
          <w:p>
            <w:pPr>
              <w:rPr>
                <w:rFonts w:ascii="仿宋_GB2312" w:hAnsi="宋体" w:eastAsia="仿宋_GB2312"/>
                <w:color w:val="000000"/>
                <w:sz w:val="18"/>
                <w:szCs w:val="18"/>
              </w:rPr>
            </w:pPr>
          </w:p>
        </w:tc>
        <w:tc>
          <w:tcPr>
            <w:tcW w:w="2036" w:type="dxa"/>
            <w:vMerge w:val="continue"/>
            <w:vAlign w:val="center"/>
          </w:tcPr>
          <w:p>
            <w:pPr>
              <w:rPr>
                <w:rFonts w:ascii="仿宋_GB2312" w:hAnsi="宋体" w:eastAsia="仿宋_GB2312"/>
                <w:color w:val="000000"/>
                <w:sz w:val="18"/>
                <w:szCs w:val="18"/>
              </w:rPr>
            </w:pPr>
          </w:p>
        </w:tc>
        <w:tc>
          <w:tcPr>
            <w:tcW w:w="1620" w:type="dxa"/>
            <w:vMerge w:val="continue"/>
            <w:vAlign w:val="center"/>
          </w:tcPr>
          <w:p>
            <w:pPr>
              <w:rPr>
                <w:rFonts w:ascii="仿宋_GB2312" w:hAnsi="宋体" w:eastAsia="仿宋_GB2312"/>
                <w:color w:val="000000"/>
                <w:sz w:val="18"/>
                <w:szCs w:val="18"/>
              </w:rPr>
            </w:pPr>
          </w:p>
        </w:tc>
        <w:tc>
          <w:tcPr>
            <w:tcW w:w="1024" w:type="dxa"/>
            <w:vMerge w:val="continue"/>
            <w:vAlign w:val="center"/>
          </w:tcPr>
          <w:p>
            <w:pPr>
              <w:rPr>
                <w:rFonts w:ascii="仿宋_GB2312" w:hAnsi="宋体" w:eastAsia="仿宋_GB2312"/>
                <w:color w:val="000000"/>
                <w:sz w:val="18"/>
                <w:szCs w:val="18"/>
              </w:rPr>
            </w:pPr>
          </w:p>
        </w:tc>
        <w:tc>
          <w:tcPr>
            <w:tcW w:w="1496" w:type="dxa"/>
            <w:vMerge w:val="continue"/>
            <w:vAlign w:val="center"/>
          </w:tcPr>
          <w:p>
            <w:pPr>
              <w:rPr>
                <w:rFonts w:ascii="仿宋_GB2312" w:hAnsi="宋体" w:eastAsia="仿宋_GB2312"/>
                <w:color w:val="000000"/>
                <w:sz w:val="18"/>
                <w:szCs w:val="18"/>
              </w:rPr>
            </w:pP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54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ascii="仿宋_GB2312" w:hAnsi="宋体" w:eastAsia="仿宋_GB2312"/>
                <w:color w:val="000000"/>
                <w:sz w:val="18"/>
                <w:szCs w:val="18"/>
              </w:rPr>
            </w:pPr>
            <w:r>
              <w:rPr>
                <w:rFonts w:hint="eastAsia" w:ascii="仿宋_GB2312" w:hAnsi="宋体" w:eastAsia="仿宋_GB2312"/>
                <w:color w:val="000000"/>
                <w:sz w:val="18"/>
                <w:szCs w:val="18"/>
              </w:rPr>
              <w:t>√</w:t>
            </w:r>
          </w:p>
        </w:tc>
      </w:tr>
    </w:tbl>
    <w:p>
      <w:pPr>
        <w:jc w:val="center"/>
        <w:rPr>
          <w:rFonts w:ascii="Times New Roman" w:hAnsi="Times New Roman" w:eastAsia="方正小标宋_GBK"/>
          <w:color w:val="FF0000"/>
          <w:sz w:val="28"/>
          <w:szCs w:val="28"/>
        </w:rPr>
      </w:pP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golian Baiti">
    <w:panose1 w:val="03000500000000000000"/>
    <w:charset w:val="00"/>
    <w:family w:val="script"/>
    <w:pitch w:val="default"/>
    <w:sig w:usb0="80000023" w:usb1="00000000" w:usb2="00020000" w:usb3="00000000" w:csb0="00000001"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方正小标宋_GBK">
    <w:panose1 w:val="02000000000000000000"/>
    <w:charset w:val="86"/>
    <w:family w:val="script"/>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cxMDM0MDIxNzE5ZGQ2OWI5MDg3YzRlOTAwZWNlYjUifQ=="/>
    <w:docVar w:name="KSO_WPS_MARK_KEY" w:val="c7f2a01e-ed3f-49af-995b-250425ca0abb"/>
  </w:docVars>
  <w:rsids>
    <w:rsidRoot w:val="00416393"/>
    <w:rsid w:val="00193DB9"/>
    <w:rsid w:val="001E6D63"/>
    <w:rsid w:val="00264E7D"/>
    <w:rsid w:val="002967AA"/>
    <w:rsid w:val="002E0878"/>
    <w:rsid w:val="003B2C77"/>
    <w:rsid w:val="004077CB"/>
    <w:rsid w:val="00416393"/>
    <w:rsid w:val="00612901"/>
    <w:rsid w:val="008438B0"/>
    <w:rsid w:val="00902A01"/>
    <w:rsid w:val="00A41EEC"/>
    <w:rsid w:val="00FA002F"/>
    <w:rsid w:val="18D917D2"/>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7"/>
    <w:semiHidden/>
    <w:qFormat/>
    <w:uiPriority w:val="0"/>
    <w:pPr>
      <w:jc w:val="left"/>
    </w:pPr>
  </w:style>
  <w:style w:type="paragraph" w:styleId="4">
    <w:name w:val="Balloon Text"/>
    <w:basedOn w:val="1"/>
    <w:link w:val="19"/>
    <w:semiHidden/>
    <w:uiPriority w:val="0"/>
    <w:rPr>
      <w:sz w:val="18"/>
      <w:szCs w:val="18"/>
    </w:rPr>
  </w:style>
  <w:style w:type="paragraph" w:styleId="5">
    <w:name w:val="footer"/>
    <w:basedOn w:val="1"/>
    <w:link w:val="22"/>
    <w:qFormat/>
    <w:uiPriority w:val="0"/>
    <w:pPr>
      <w:tabs>
        <w:tab w:val="center" w:pos="4153"/>
        <w:tab w:val="right" w:pos="8306"/>
      </w:tabs>
      <w:snapToGrid w:val="0"/>
      <w:jc w:val="left"/>
    </w:pPr>
    <w:rPr>
      <w:sz w:val="18"/>
      <w:szCs w:val="18"/>
    </w:rPr>
  </w:style>
  <w:style w:type="paragraph" w:styleId="6">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semiHidden/>
    <w:uiPriority w:val="0"/>
    <w:pPr>
      <w:tabs>
        <w:tab w:val="right" w:leader="dot" w:pos="14760"/>
      </w:tabs>
      <w:spacing w:line="700" w:lineRule="exact"/>
      <w:ind w:left="359" w:leftChars="171" w:right="332" w:rightChars="158"/>
    </w:pPr>
  </w:style>
  <w:style w:type="paragraph" w:styleId="8">
    <w:name w:val="annotation subject"/>
    <w:basedOn w:val="3"/>
    <w:next w:val="3"/>
    <w:link w:val="18"/>
    <w:semiHidden/>
    <w:qFormat/>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uiPriority w:val="0"/>
  </w:style>
  <w:style w:type="character" w:styleId="13">
    <w:name w:val="Hyperlink"/>
    <w:uiPriority w:val="0"/>
    <w:rPr>
      <w:color w:val="0000FF"/>
      <w:u w:val="single"/>
    </w:rPr>
  </w:style>
  <w:style w:type="character" w:styleId="14">
    <w:name w:val="annotation reference"/>
    <w:semiHidden/>
    <w:qFormat/>
    <w:uiPriority w:val="0"/>
    <w:rPr>
      <w:sz w:val="21"/>
      <w:szCs w:val="21"/>
    </w:rPr>
  </w:style>
  <w:style w:type="character" w:customStyle="1" w:styleId="15">
    <w:name w:val="标题 1 字符"/>
    <w:basedOn w:val="11"/>
    <w:link w:val="2"/>
    <w:qFormat/>
    <w:uiPriority w:val="0"/>
    <w:rPr>
      <w:rFonts w:ascii="Calibri" w:hAnsi="Calibri" w:eastAsia="宋体" w:cs="Times New Roman"/>
      <w:b/>
      <w:bCs/>
      <w:kern w:val="44"/>
      <w:sz w:val="44"/>
      <w:szCs w:val="44"/>
    </w:rPr>
  </w:style>
  <w:style w:type="paragraph" w:customStyle="1" w:styleId="16">
    <w:name w:val="列出段落"/>
    <w:basedOn w:val="1"/>
    <w:qFormat/>
    <w:uiPriority w:val="0"/>
    <w:pPr>
      <w:ind w:firstLine="420" w:firstLineChars="200"/>
    </w:pPr>
    <w:rPr>
      <w:rFonts w:ascii="等线" w:hAnsi="等线" w:eastAsia="等线"/>
    </w:rPr>
  </w:style>
  <w:style w:type="character" w:customStyle="1" w:styleId="17">
    <w:name w:val="批注文字 字符"/>
    <w:basedOn w:val="11"/>
    <w:link w:val="3"/>
    <w:semiHidden/>
    <w:qFormat/>
    <w:uiPriority w:val="0"/>
    <w:rPr>
      <w:rFonts w:ascii="Calibri" w:hAnsi="Calibri" w:eastAsia="宋体" w:cs="Times New Roman"/>
    </w:rPr>
  </w:style>
  <w:style w:type="character" w:customStyle="1" w:styleId="18">
    <w:name w:val="批注主题 字符"/>
    <w:basedOn w:val="17"/>
    <w:link w:val="8"/>
    <w:semiHidden/>
    <w:uiPriority w:val="0"/>
    <w:rPr>
      <w:rFonts w:ascii="Calibri" w:hAnsi="Calibri" w:eastAsia="宋体" w:cs="Times New Roman"/>
      <w:b/>
      <w:bCs/>
    </w:rPr>
  </w:style>
  <w:style w:type="character" w:customStyle="1" w:styleId="19">
    <w:name w:val="批注框文本 字符"/>
    <w:basedOn w:val="11"/>
    <w:link w:val="4"/>
    <w:semiHidden/>
    <w:uiPriority w:val="0"/>
    <w:rPr>
      <w:rFonts w:ascii="Calibri" w:hAnsi="Calibri" w:eastAsia="宋体" w:cs="Times New Roman"/>
      <w:sz w:val="18"/>
      <w:szCs w:val="18"/>
    </w:rPr>
  </w:style>
  <w:style w:type="paragraph" w:customStyle="1" w:styleId="20">
    <w:name w:val="列出段落1"/>
    <w:basedOn w:val="1"/>
    <w:uiPriority w:val="0"/>
    <w:pPr>
      <w:ind w:firstLine="420" w:firstLineChars="200"/>
    </w:pPr>
  </w:style>
  <w:style w:type="character" w:customStyle="1" w:styleId="21">
    <w:name w:val="页眉 字符"/>
    <w:basedOn w:val="11"/>
    <w:link w:val="6"/>
    <w:qFormat/>
    <w:uiPriority w:val="0"/>
    <w:rPr>
      <w:rFonts w:ascii="Calibri" w:hAnsi="Calibri" w:eastAsia="宋体" w:cs="Times New Roman"/>
      <w:sz w:val="18"/>
      <w:szCs w:val="18"/>
    </w:rPr>
  </w:style>
  <w:style w:type="character" w:customStyle="1" w:styleId="22">
    <w:name w:val="页脚 字符"/>
    <w:basedOn w:val="11"/>
    <w:link w:val="5"/>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B8344-096B-40CB-BABD-969550E207C7}">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5815</Words>
  <Characters>5914</Characters>
  <Lines>52</Lines>
  <Paragraphs>14</Paragraphs>
  <TotalTime>0</TotalTime>
  <ScaleCrop>false</ScaleCrop>
  <LinksUpToDate>false</LinksUpToDate>
  <CharactersWithSpaces>6176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2020-03-06T06:58:00Z</dcterms:created>
  <dc:creator>tai yuzhu</dc:creator>
  <cp:lastModifiedBy>演示人</cp:lastModifiedBy>
  <dcterms:modified xsi:type="dcterms:W3CDTF">2024-08-21T08:40:01Z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626ECA3D2816418599583C2053E9D625_12</vt:lpwstr>
  </property>
</Properties>
</file>