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小标宋_GBK" w:hAnsi="方正小标宋_GBK" w:eastAsia="方正小标宋_GBK"/>
          <w:b w:val="0"/>
          <w:bCs w:val="0"/>
          <w:sz w:val="30"/>
        </w:rPr>
      </w:pPr>
      <w:bookmarkStart w:id="0" w:name="_Toc24724717"/>
      <w:r>
        <w:rPr>
          <w:rFonts w:hint="eastAsia" w:ascii="方正小标宋_GBK" w:hAnsi="方正小标宋_GBK" w:eastAsia="方正小标宋_GBK"/>
          <w:b w:val="0"/>
          <w:bCs w:val="0"/>
          <w:sz w:val="30"/>
        </w:rPr>
        <w:t>（十四）保障性住房领域基层政务公开标准目录</w:t>
      </w:r>
      <w:bookmarkEnd w:id="0"/>
    </w:p>
    <w:tbl>
      <w:tblPr>
        <w:tblStyle w:val="9"/>
        <w:tblW w:w="15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274"/>
        <w:gridCol w:w="1800"/>
        <w:gridCol w:w="3600"/>
        <w:gridCol w:w="1080"/>
        <w:gridCol w:w="1080"/>
        <w:gridCol w:w="1246"/>
        <w:gridCol w:w="72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restart"/>
            <w:shd w:val="clear" w:color="auto" w:fill="auto"/>
            <w:vAlign w:val="center"/>
          </w:tcPr>
          <w:p>
            <w:pPr>
              <w:widowControl/>
              <w:jc w:val="center"/>
              <w:rPr>
                <w:rFonts w:ascii="Times New Roman" w:hAnsi="Times New Roman"/>
                <w:color w:val="000000"/>
                <w:kern w:val="0"/>
                <w:sz w:val="22"/>
              </w:rPr>
            </w:pPr>
            <w:r>
              <w:rPr>
                <w:rFonts w:ascii="Times New Roman" w:hAnsi="宋体"/>
                <w:color w:val="000000"/>
                <w:kern w:val="0"/>
                <w:sz w:val="22"/>
              </w:rPr>
              <w:t>序号</w:t>
            </w:r>
          </w:p>
        </w:tc>
        <w:tc>
          <w:tcPr>
            <w:tcW w:w="1994"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80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公开内容（要素）</w:t>
            </w:r>
          </w:p>
        </w:tc>
        <w:tc>
          <w:tcPr>
            <w:tcW w:w="360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08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8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1246" w:type="dxa"/>
            <w:vMerge w:val="restart"/>
            <w:shd w:val="clear" w:color="auto" w:fill="auto"/>
            <w:vAlign w:val="center"/>
          </w:tcPr>
          <w:p>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Merge w:val="continue"/>
            <w:vAlign w:val="center"/>
          </w:tcPr>
          <w:p>
            <w:pPr>
              <w:widowControl/>
              <w:jc w:val="left"/>
              <w:rPr>
                <w:rFonts w:ascii="Times New Roman" w:hAnsi="Times New Roman"/>
                <w:color w:val="000000"/>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274"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800" w:type="dxa"/>
            <w:vMerge w:val="continue"/>
            <w:vAlign w:val="center"/>
          </w:tcPr>
          <w:p>
            <w:pPr>
              <w:widowControl/>
              <w:jc w:val="left"/>
              <w:rPr>
                <w:rFonts w:ascii="黑体" w:hAnsi="宋体" w:eastAsia="黑体" w:cs="宋体"/>
                <w:color w:val="000000"/>
                <w:kern w:val="0"/>
                <w:sz w:val="22"/>
              </w:rPr>
            </w:pPr>
          </w:p>
        </w:tc>
        <w:tc>
          <w:tcPr>
            <w:tcW w:w="3600" w:type="dxa"/>
            <w:vMerge w:val="continue"/>
            <w:vAlign w:val="center"/>
          </w:tcPr>
          <w:p>
            <w:pPr>
              <w:widowControl/>
              <w:jc w:val="left"/>
              <w:rPr>
                <w:rFonts w:ascii="黑体" w:hAnsi="宋体" w:eastAsia="黑体" w:cs="宋体"/>
                <w:color w:val="000000"/>
                <w:kern w:val="0"/>
                <w:sz w:val="22"/>
              </w:rPr>
            </w:pPr>
          </w:p>
        </w:tc>
        <w:tc>
          <w:tcPr>
            <w:tcW w:w="1080" w:type="dxa"/>
            <w:vMerge w:val="continue"/>
            <w:vAlign w:val="center"/>
          </w:tcPr>
          <w:p>
            <w:pPr>
              <w:widowControl/>
              <w:jc w:val="left"/>
              <w:rPr>
                <w:rFonts w:ascii="黑体" w:hAnsi="宋体" w:eastAsia="黑体" w:cs="宋体"/>
                <w:color w:val="000000"/>
                <w:kern w:val="0"/>
                <w:sz w:val="22"/>
              </w:rPr>
            </w:pPr>
          </w:p>
        </w:tc>
        <w:tc>
          <w:tcPr>
            <w:tcW w:w="1080" w:type="dxa"/>
            <w:vMerge w:val="continue"/>
            <w:vAlign w:val="center"/>
          </w:tcPr>
          <w:p>
            <w:pPr>
              <w:widowControl/>
              <w:jc w:val="left"/>
              <w:rPr>
                <w:rFonts w:ascii="黑体" w:hAnsi="宋体" w:eastAsia="黑体" w:cs="宋体"/>
                <w:color w:val="000000"/>
                <w:kern w:val="0"/>
                <w:sz w:val="22"/>
              </w:rPr>
            </w:pPr>
          </w:p>
        </w:tc>
        <w:tc>
          <w:tcPr>
            <w:tcW w:w="1246" w:type="dxa"/>
            <w:vMerge w:val="continue"/>
            <w:vAlign w:val="center"/>
          </w:tcPr>
          <w:p>
            <w:pPr>
              <w:widowControl/>
              <w:jc w:val="left"/>
              <w:rPr>
                <w:rFonts w:ascii="黑体" w:hAnsi="宋体" w:eastAsia="黑体" w:cs="宋体"/>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法规政策</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法律法规</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《已购公有住房和经济适用住房上市出售管理暂行办法》、《廉租住房保障办法》、《经济适用住房管理办法》、《公共租赁住房管理办法》、《住房城乡建设部 财政部 国家发改委关于公共租赁住房和廉租住房并轨运行的通知》、《中共中央办公厅国务院办公厅印发〈关于全面推进政务公开工作的意见〉的通知》、《国务院办公厅印发〈关于全面推进政务公开工作的意见〉实施细则的通知》、《住房和城乡建设部 财政部关于做好城镇住房保障家庭租赁补贴工作的指导意见》、《国务院办公厅关于推进公共资源配置领域政府信息公开的意见》、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信息获取（形成、变更）20个工作日内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人民政府、住房保障行政主管部门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■两微一端       ■公开查阅点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政策文件</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文件名称；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文号；</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发布部门；</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发布日期；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实施日期；</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正文。</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重大决策</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决策前</w:t>
            </w:r>
            <w:r>
              <w:rPr>
                <w:rFonts w:hint="eastAsia" w:ascii="仿宋_GB2312" w:hAnsi="宋体" w:eastAsia="仿宋_GB2312"/>
                <w:color w:val="000000"/>
                <w:sz w:val="18"/>
                <w:szCs w:val="18"/>
              </w:rPr>
              <w:br w:type="page"/>
            </w:r>
            <w:r>
              <w:rPr>
                <w:rFonts w:hint="eastAsia" w:ascii="仿宋_GB2312" w:hAnsi="宋体" w:eastAsia="仿宋_GB2312"/>
                <w:color w:val="000000"/>
                <w:sz w:val="18"/>
                <w:szCs w:val="18"/>
              </w:rPr>
              <w:t>预公开</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决策公开制度；</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意见征集。</w:t>
            </w:r>
          </w:p>
        </w:tc>
        <w:tc>
          <w:tcPr>
            <w:tcW w:w="3600" w:type="dxa"/>
            <w:vMerge w:val="restart"/>
            <w:vAlign w:val="center"/>
          </w:tcPr>
          <w:p>
            <w:pPr>
              <w:rPr>
                <w:rFonts w:hint="eastAsia" w:ascii="仿宋_GB2312" w:hAnsi="宋体" w:eastAsia="仿宋_GB2312"/>
                <w:color w:val="000000"/>
                <w:sz w:val="18"/>
                <w:szCs w:val="18"/>
              </w:rPr>
            </w:pPr>
            <w:bookmarkStart w:id="1" w:name="_GoBack"/>
            <w:bookmarkEnd w:id="1"/>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、《中共中央办公厅国务院办公厅印发〈关于全面推进政务公开工作的意见〉的通知》、《国务院办公厅印发〈关于全面推进政务公开工作的意见〉实施细则的通知》</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pPr>
              <w:rPr>
                <w:rFonts w:hint="eastAsia" w:ascii="仿宋_GB2312" w:hAnsi="宋体" w:eastAsia="仿宋_GB2312"/>
                <w:color w:val="000000"/>
                <w:sz w:val="18"/>
                <w:szCs w:val="18"/>
              </w:rPr>
            </w:pP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page"/>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决策会议公开</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会议名称；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会议时间地点；</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会议结果。</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5</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决策结果公开</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保障性住房领域方案、公示公告、通知等。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6</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规划计划</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中长期规划</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保障性住房专项规划。</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7</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年度计划</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年度建设计划任务量：开工套数、基本建成套数；</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年度计划项目：项目名称、建设地点、总建筑面积、住宅面积、计划开工时间、计划竣工时间。</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8</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建设管理</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立项信息</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项目名称；建设地点；投资金额；计划安排。</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9</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开工项目清单</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项目名称；建设地址；建设方式；建设总套数；开工时间；年度计划开工套数、实际开工套数；年度计划基本建成套数；建设、设计、施工和监理单位名称等。</w:t>
            </w:r>
          </w:p>
        </w:tc>
        <w:tc>
          <w:tcPr>
            <w:tcW w:w="360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246" w:type="dxa"/>
            <w:vMerge w:val="continue"/>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09" w:type="dxa"/>
            <w:vMerge w:val="continue"/>
            <w:shd w:val="clear" w:color="auto" w:fill="auto"/>
            <w:vAlign w:val="center"/>
          </w:tcPr>
          <w:p>
            <w:pPr>
              <w:rPr>
                <w:rFonts w:ascii="仿宋_GB2312" w:hAnsi="宋体" w:eastAsia="仿宋_GB2312"/>
                <w:color w:val="000000"/>
                <w:sz w:val="18"/>
                <w:szCs w:val="18"/>
              </w:rPr>
            </w:pPr>
          </w:p>
        </w:tc>
        <w:tc>
          <w:tcPr>
            <w:tcW w:w="551"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10</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基本建成项目清单</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246" w:type="dxa"/>
            <w:vMerge w:val="continue"/>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09" w:type="dxa"/>
            <w:vMerge w:val="continue"/>
            <w:shd w:val="clear" w:color="auto" w:fill="auto"/>
            <w:vAlign w:val="center"/>
          </w:tcPr>
          <w:p>
            <w:pPr>
              <w:rPr>
                <w:rFonts w:ascii="仿宋_GB2312" w:hAnsi="宋体" w:eastAsia="仿宋_GB2312"/>
                <w:color w:val="000000"/>
                <w:sz w:val="18"/>
                <w:szCs w:val="18"/>
              </w:rPr>
            </w:pPr>
          </w:p>
        </w:tc>
        <w:tc>
          <w:tcPr>
            <w:tcW w:w="551"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11</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竣工项目清单</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项目名称；建设地址；建设单位；竣工套数；竣工时间等。</w:t>
            </w:r>
          </w:p>
        </w:tc>
        <w:tc>
          <w:tcPr>
            <w:tcW w:w="360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246" w:type="dxa"/>
            <w:vMerge w:val="continue"/>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09" w:type="dxa"/>
            <w:vMerge w:val="continue"/>
            <w:shd w:val="clear" w:color="auto" w:fill="auto"/>
            <w:vAlign w:val="center"/>
          </w:tcPr>
          <w:p>
            <w:pPr>
              <w:rPr>
                <w:rFonts w:ascii="仿宋_GB2312" w:hAnsi="宋体" w:eastAsia="仿宋_GB2312"/>
                <w:color w:val="000000"/>
                <w:sz w:val="18"/>
                <w:szCs w:val="18"/>
              </w:rPr>
            </w:pPr>
          </w:p>
        </w:tc>
        <w:tc>
          <w:tcPr>
            <w:tcW w:w="551"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12</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配套设施建设情况</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项目名称；建设地址；建设方式；开工时间；建设、设计、施工和监理单位名称等。</w:t>
            </w:r>
          </w:p>
        </w:tc>
        <w:tc>
          <w:tcPr>
            <w:tcW w:w="360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246" w:type="dxa"/>
            <w:vMerge w:val="continue"/>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09" w:type="dxa"/>
            <w:vMerge w:val="continue"/>
            <w:shd w:val="clear" w:color="auto" w:fill="auto"/>
            <w:vAlign w:val="center"/>
          </w:tcPr>
          <w:p>
            <w:pPr>
              <w:rPr>
                <w:rFonts w:ascii="仿宋_GB2312" w:hAnsi="宋体" w:eastAsia="仿宋_GB2312"/>
                <w:color w:val="000000"/>
                <w:sz w:val="18"/>
                <w:szCs w:val="18"/>
              </w:rPr>
            </w:pPr>
          </w:p>
        </w:tc>
        <w:tc>
          <w:tcPr>
            <w:tcW w:w="551"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13</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保障性住房申请受理</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申请受理公告；</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申请条件、程序、期限和所需材料；</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租赁补贴发放计划。</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                           </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14</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公租房承租资格审核</w:t>
            </w:r>
          </w:p>
        </w:tc>
        <w:tc>
          <w:tcPr>
            <w:tcW w:w="18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申请受理；</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审核结果：申请对象姓名、身份证号(隐藏部分号码)、申请房源类型；</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15</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公租房租赁补贴或租金减免审批</w:t>
            </w:r>
          </w:p>
        </w:tc>
        <w:tc>
          <w:tcPr>
            <w:tcW w:w="1800" w:type="dxa"/>
            <w:vMerge w:val="continue"/>
            <w:vAlign w:val="center"/>
          </w:tcPr>
          <w:p>
            <w:pPr>
              <w:rPr>
                <w:rFonts w:hint="eastAsia" w:ascii="仿宋_GB2312" w:hAnsi="宋体" w:eastAsia="仿宋_GB2312"/>
                <w:color w:val="000000"/>
                <w:sz w:val="18"/>
                <w:szCs w:val="18"/>
              </w:rPr>
            </w:pP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16</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经济适用住房购买资格审核</w:t>
            </w:r>
          </w:p>
        </w:tc>
        <w:tc>
          <w:tcPr>
            <w:tcW w:w="1800" w:type="dxa"/>
            <w:vMerge w:val="continue"/>
            <w:vAlign w:val="center"/>
          </w:tcPr>
          <w:p>
            <w:pPr>
              <w:rPr>
                <w:rFonts w:hint="eastAsia" w:ascii="仿宋_GB2312" w:hAnsi="宋体" w:eastAsia="仿宋_GB2312"/>
                <w:color w:val="000000"/>
                <w:sz w:val="18"/>
                <w:szCs w:val="18"/>
              </w:rPr>
            </w:pP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17</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配给管理</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房源信息</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项目名称；保障性住房类型；竣工日期；地址；住房套数；待分配套数；已分配套数；套型；面积；配租配售价格；分配日期等。</w:t>
            </w:r>
          </w:p>
        </w:tc>
        <w:tc>
          <w:tcPr>
            <w:tcW w:w="36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18</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选房或摇号公告</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p>
            <w:pPr>
              <w:rPr>
                <w:rFonts w:hint="eastAsia" w:ascii="仿宋_GB2312" w:hAnsi="宋体" w:eastAsia="仿宋_GB2312"/>
                <w:color w:val="000000"/>
                <w:sz w:val="18"/>
                <w:szCs w:val="18"/>
              </w:rPr>
            </w:pP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19</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分配结果</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保障对象姓名；保障性住房类型；房号、面积、套型；所在建设项目名称等。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20</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办理配租配售公告</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公告名称；发布部门；发布日期；正文，包括时间、地点、流程、注意事项等。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21</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公租房资格定期审核</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年审或定期审核家庭信息，含保障对象编号、姓名、身份证号﹝隐藏部分号码﹞；配租房源；套型；面积；是否审核通过；未通过原因等。</w:t>
            </w:r>
          </w:p>
        </w:tc>
        <w:tc>
          <w:tcPr>
            <w:tcW w:w="36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《公共租赁住房管理办法》、《国务院办公厅关于推进公共资源配置领域政府信息公开的意见》</w:t>
            </w:r>
          </w:p>
        </w:tc>
        <w:tc>
          <w:tcPr>
            <w:tcW w:w="108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22</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原保障对象姓名、身份证号（隐藏部分号码）；原租购项目名称、地址、类型、套型、面积等；原享受补贴面积、标准等。</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23</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到期退出</w:t>
            </w:r>
          </w:p>
        </w:tc>
        <w:tc>
          <w:tcPr>
            <w:tcW w:w="1800" w:type="dxa"/>
            <w:vMerge w:val="continue"/>
            <w:vAlign w:val="center"/>
          </w:tcPr>
          <w:p>
            <w:pPr>
              <w:rPr>
                <w:rFonts w:hint="eastAsia" w:ascii="仿宋_GB2312" w:hAnsi="宋体" w:eastAsia="仿宋_GB2312"/>
                <w:color w:val="000000"/>
                <w:sz w:val="18"/>
                <w:szCs w:val="18"/>
              </w:rPr>
            </w:pP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24</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不符合条件退出</w:t>
            </w:r>
          </w:p>
        </w:tc>
        <w:tc>
          <w:tcPr>
            <w:tcW w:w="1800" w:type="dxa"/>
            <w:vMerge w:val="continue"/>
            <w:vAlign w:val="center"/>
          </w:tcPr>
          <w:p>
            <w:pPr>
              <w:rPr>
                <w:rFonts w:hint="eastAsia" w:ascii="仿宋_GB2312" w:hAnsi="宋体" w:eastAsia="仿宋_GB2312"/>
                <w:color w:val="000000"/>
                <w:sz w:val="18"/>
                <w:szCs w:val="18"/>
              </w:rPr>
            </w:pP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25</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违规处罚退出</w:t>
            </w:r>
          </w:p>
        </w:tc>
        <w:tc>
          <w:tcPr>
            <w:tcW w:w="1800" w:type="dxa"/>
            <w:vMerge w:val="continue"/>
            <w:vAlign w:val="center"/>
          </w:tcPr>
          <w:p>
            <w:pPr>
              <w:rPr>
                <w:rFonts w:hint="eastAsia" w:ascii="仿宋_GB2312" w:hAnsi="宋体" w:eastAsia="仿宋_GB2312"/>
                <w:color w:val="000000"/>
                <w:sz w:val="18"/>
                <w:szCs w:val="18"/>
              </w:rPr>
            </w:pP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26</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租赁补贴发放</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保障对象姓名、身份证号（隐藏部分号码）；发放金额；发放年度、月份、日期；发放方式。</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27</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租金收取</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保障对象姓名、身份证号（隐藏部分号码）；应缴租金；实收租金；未足额收取原因；租金年度、月份；收取日期；收取方式。</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080" w:type="dxa"/>
            <w:vMerge w:val="continue"/>
            <w:vAlign w:val="center"/>
          </w:tcPr>
          <w:p>
            <w:pPr>
              <w:rPr>
                <w:rFonts w:ascii="仿宋_GB2312" w:hAnsi="宋体" w:eastAsia="仿宋_GB2312"/>
                <w:color w:val="000000"/>
                <w:sz w:val="18"/>
                <w:szCs w:val="18"/>
              </w:rPr>
            </w:pPr>
          </w:p>
        </w:tc>
        <w:tc>
          <w:tcPr>
            <w:tcW w:w="1246" w:type="dxa"/>
            <w:vMerge w:val="continue"/>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09" w:type="dxa"/>
            <w:vMerge w:val="continue"/>
            <w:shd w:val="clear" w:color="auto" w:fill="auto"/>
            <w:vAlign w:val="center"/>
          </w:tcPr>
          <w:p>
            <w:pPr>
              <w:rPr>
                <w:rFonts w:ascii="仿宋_GB2312" w:hAnsi="宋体" w:eastAsia="仿宋_GB2312"/>
                <w:color w:val="000000"/>
                <w:sz w:val="18"/>
                <w:szCs w:val="18"/>
              </w:rPr>
            </w:pPr>
          </w:p>
        </w:tc>
        <w:tc>
          <w:tcPr>
            <w:tcW w:w="551"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c>
          <w:tcPr>
            <w:tcW w:w="720" w:type="dxa"/>
            <w:vMerge w:val="continue"/>
            <w:shd w:val="clear" w:color="auto" w:fill="auto"/>
            <w:vAlign w:val="center"/>
          </w:tcPr>
          <w:p>
            <w:pP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28</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租金减免</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保障对象姓名、身份证号（隐藏部分号码）；保障项目名称、类型、套型、面积；原应缴租金标准、现应缴租金标准。</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住房城乡建设部办公厅关于做好2012年住房保障信息公开工作的通知》、《住房城乡建设部办公厅关于进一步加强住房保障信息公开工作的通知》、《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                                      ■政府网站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29</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腾退管理</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腾退对象；腾退日期；腾退原因；实退租金。</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30</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房屋维修</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维修内容；维修标准；维修资金来源渠道；维修单位名称；联系人，联系方式。</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31</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保障性住房调整</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保障对象姓名、身份证号（隐藏部分号码）；调整前和调整后保障项目名称、类型、套型、面积等；不予调整原因。</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32</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配后管理</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运营承接主体管理</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单位名称；获取运营资格方式；运营承接主体统一社会信用代码；负责人姓名；办公地址、联系电话；注册资金；服务范围；监督考核情况等。</w:t>
            </w:r>
          </w:p>
        </w:tc>
        <w:tc>
          <w:tcPr>
            <w:tcW w:w="36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《经济适用住房管理办法》、《公共租赁住房管理办法》、《国务院办公厅关于推进公共资源配置领域政府信息公开的意见》</w:t>
            </w:r>
          </w:p>
        </w:tc>
        <w:tc>
          <w:tcPr>
            <w:tcW w:w="108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■两微一端  </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33</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申请保障</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申请条件；申请所需材料及范本；申请流程和办理时限；申请受理（办理）机构；受理地点；咨询电话、监督电话等。</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保障性住房政务信息制作部门、保存部门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34</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合同备案</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合同范本；备案机构；受理地点；咨询电话等。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35</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申请租金减免</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申请所需材料及范本；申请流程和办理时限；申请受理（办理）机构；受理地点；咨询电话、监督电话等。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36</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办事指南</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缴纳租金</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租金标准；缴纳方式、时限；受理（办理）机构；咨询电话、监督电话等。</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《关于全面推进政务公开工作的意见》、《国务院关于加快推进“互联网+政务服务”工作的指导意见》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保障性住房信息制作部门、保存部门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■公开查阅点     </w:t>
            </w:r>
          </w:p>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■政务服务中心</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■便民服务站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37</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保障性住房调换</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38</w:t>
            </w:r>
          </w:p>
        </w:tc>
        <w:tc>
          <w:tcPr>
            <w:tcW w:w="720" w:type="dxa"/>
            <w:vMerge w:val="continue"/>
            <w:shd w:val="clear" w:color="auto" w:fill="auto"/>
            <w:vAlign w:val="center"/>
          </w:tcPr>
          <w:p>
            <w:pPr>
              <w:jc w:val="center"/>
              <w:rPr>
                <w:rFonts w:hint="eastAsia" w:ascii="仿宋_GB2312" w:hAnsi="宋体" w:eastAsia="仿宋_GB2312"/>
                <w:color w:val="000000"/>
                <w:sz w:val="18"/>
                <w:szCs w:val="18"/>
              </w:rPr>
            </w:pP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自愿退出</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申请所需材料及范本；申请方式、流程；申请受理（办理）机构；受理地点；咨询电话、监督电话等。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39</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政策解读</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本级政策解读</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解读主体；解读内容；解读方式；解读时间等。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40</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主动回应</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公众提出的意见建议及回复情况；公开突发事件应对情况等。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41</w:t>
            </w:r>
          </w:p>
        </w:tc>
        <w:tc>
          <w:tcPr>
            <w:tcW w:w="720"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回应关切</w:t>
            </w:r>
          </w:p>
        </w:tc>
        <w:tc>
          <w:tcPr>
            <w:tcW w:w="1274" w:type="dxa"/>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互动回应</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在收集分析研判舆情的基础上，针对舆论关注的焦点、热点和关键问题的互动回应内容。</w:t>
            </w:r>
          </w:p>
        </w:tc>
        <w:tc>
          <w:tcPr>
            <w:tcW w:w="360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《关于全面推进政务公开工作的意见》、《国务院办公厅关于推进公共资源配置领域政府信息公开的意见》</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信息形成（变更）20个工作日内</w:t>
            </w:r>
          </w:p>
        </w:tc>
        <w:tc>
          <w:tcPr>
            <w:tcW w:w="1080"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住房保障行政主管部门</w:t>
            </w:r>
          </w:p>
        </w:tc>
        <w:tc>
          <w:tcPr>
            <w:tcW w:w="1246" w:type="dxa"/>
            <w:vMerge w:val="restart"/>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 xml:space="preserve">■政府网站       </w:t>
            </w:r>
            <w:r>
              <w:rPr>
                <w:rFonts w:hint="eastAsia" w:ascii="仿宋_GB2312" w:hAnsi="宋体" w:eastAsia="仿宋_GB2312"/>
                <w:color w:val="000000"/>
                <w:sz w:val="18"/>
                <w:szCs w:val="18"/>
              </w:rPr>
              <w:br w:type="textWrapping"/>
            </w:r>
            <w:r>
              <w:rPr>
                <w:rFonts w:hint="eastAsia" w:ascii="仿宋_GB2312" w:hAnsi="宋体" w:eastAsia="仿宋_GB2312"/>
                <w:color w:val="000000"/>
                <w:sz w:val="18"/>
                <w:szCs w:val="18"/>
              </w:rPr>
              <w:t xml:space="preserve">■两微一端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09"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551"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　</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42</w:t>
            </w:r>
          </w:p>
        </w:tc>
        <w:tc>
          <w:tcPr>
            <w:tcW w:w="720" w:type="dxa"/>
            <w:vMerge w:val="restart"/>
            <w:shd w:val="clear" w:color="auto" w:fill="auto"/>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评价结果</w:t>
            </w: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上级评价、表彰情况</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上级对本地区保障性住房领域年度工作完成情况的评价、通报、排名；获上级表彰、入围上级推广示范情况等。</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43</w:t>
            </w: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1274" w:type="dxa"/>
            <w:shd w:val="clear" w:color="auto" w:fill="auto"/>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社会评价情况</w:t>
            </w:r>
          </w:p>
        </w:tc>
        <w:tc>
          <w:tcPr>
            <w:tcW w:w="1800" w:type="dxa"/>
            <w:vAlign w:val="center"/>
          </w:tcPr>
          <w:p>
            <w:pPr>
              <w:rPr>
                <w:rFonts w:hint="eastAsia" w:ascii="仿宋_GB2312" w:hAnsi="宋体" w:eastAsia="仿宋_GB2312"/>
                <w:color w:val="000000"/>
                <w:sz w:val="18"/>
                <w:szCs w:val="18"/>
              </w:rPr>
            </w:pPr>
            <w:r>
              <w:rPr>
                <w:rFonts w:hint="eastAsia" w:ascii="仿宋_GB2312" w:hAnsi="宋体" w:eastAsia="仿宋_GB2312"/>
                <w:color w:val="000000"/>
                <w:sz w:val="18"/>
                <w:szCs w:val="18"/>
              </w:rPr>
              <w:t>公众对保障性住房工作满意度评价。</w:t>
            </w:r>
          </w:p>
        </w:tc>
        <w:tc>
          <w:tcPr>
            <w:tcW w:w="360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080" w:type="dxa"/>
            <w:vMerge w:val="continue"/>
            <w:vAlign w:val="center"/>
          </w:tcPr>
          <w:p>
            <w:pPr>
              <w:rPr>
                <w:rFonts w:hint="eastAsia" w:ascii="仿宋_GB2312" w:hAnsi="宋体" w:eastAsia="仿宋_GB2312"/>
                <w:color w:val="000000"/>
                <w:sz w:val="18"/>
                <w:szCs w:val="18"/>
              </w:rPr>
            </w:pPr>
          </w:p>
        </w:tc>
        <w:tc>
          <w:tcPr>
            <w:tcW w:w="1246" w:type="dxa"/>
            <w:vMerge w:val="continue"/>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09" w:type="dxa"/>
            <w:vMerge w:val="continue"/>
            <w:shd w:val="clear" w:color="auto" w:fill="auto"/>
            <w:vAlign w:val="center"/>
          </w:tcPr>
          <w:p>
            <w:pPr>
              <w:rPr>
                <w:rFonts w:hint="eastAsia" w:ascii="仿宋_GB2312" w:hAnsi="宋体" w:eastAsia="仿宋_GB2312"/>
                <w:color w:val="000000"/>
                <w:sz w:val="18"/>
                <w:szCs w:val="18"/>
              </w:rPr>
            </w:pPr>
          </w:p>
        </w:tc>
        <w:tc>
          <w:tcPr>
            <w:tcW w:w="551"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c>
          <w:tcPr>
            <w:tcW w:w="720" w:type="dxa"/>
            <w:vMerge w:val="continue"/>
            <w:shd w:val="clear" w:color="auto" w:fill="auto"/>
            <w:vAlign w:val="center"/>
          </w:tcPr>
          <w:p>
            <w:pPr>
              <w:rPr>
                <w:rFonts w:hint="eastAsia" w:ascii="仿宋_GB2312" w:hAnsi="宋体" w:eastAsia="仿宋_GB2312"/>
                <w:color w:val="000000"/>
                <w:sz w:val="18"/>
                <w:szCs w:val="18"/>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c6ee4e5b-bf6d-4bed-8a6c-dd4b45856d36"/>
  </w:docVars>
  <w:rsids>
    <w:rsidRoot w:val="00416393"/>
    <w:rsid w:val="00134AD2"/>
    <w:rsid w:val="00146120"/>
    <w:rsid w:val="00190068"/>
    <w:rsid w:val="00193DB9"/>
    <w:rsid w:val="001E6D63"/>
    <w:rsid w:val="002967AA"/>
    <w:rsid w:val="002E0878"/>
    <w:rsid w:val="003B2C77"/>
    <w:rsid w:val="004077CB"/>
    <w:rsid w:val="00416393"/>
    <w:rsid w:val="00612901"/>
    <w:rsid w:val="008438B0"/>
    <w:rsid w:val="00902A01"/>
    <w:rsid w:val="00A41EEC"/>
    <w:rsid w:val="00B56955"/>
    <w:rsid w:val="00C3715A"/>
    <w:rsid w:val="00FA002F"/>
    <w:rsid w:val="6725034A"/>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uiPriority w:val="0"/>
    <w:pPr>
      <w:jc w:val="left"/>
    </w:pPr>
  </w:style>
  <w:style w:type="paragraph" w:styleId="4">
    <w:name w:val="Balloon Text"/>
    <w:basedOn w:val="1"/>
    <w:link w:val="19"/>
    <w:semiHidden/>
    <w:uiPriority w:val="0"/>
    <w:rPr>
      <w:sz w:val="18"/>
      <w:szCs w:val="18"/>
    </w:rPr>
  </w:style>
  <w:style w:type="paragraph" w:styleId="5">
    <w:name w:val="footer"/>
    <w:basedOn w:val="1"/>
    <w:link w:val="22"/>
    <w:uiPriority w:val="0"/>
    <w:pPr>
      <w:tabs>
        <w:tab w:val="center" w:pos="4153"/>
        <w:tab w:val="right" w:pos="8306"/>
      </w:tabs>
      <w:snapToGrid w:val="0"/>
      <w:jc w:val="left"/>
    </w:pPr>
    <w:rPr>
      <w:sz w:val="18"/>
      <w:szCs w:val="18"/>
    </w:rPr>
  </w:style>
  <w:style w:type="paragraph" w:styleId="6">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uiPriority w:val="0"/>
  </w:style>
  <w:style w:type="character" w:styleId="13">
    <w:name w:val="Hyperlink"/>
    <w:uiPriority w:val="0"/>
    <w:rPr>
      <w:color w:val="0000FF"/>
      <w:u w:val="single"/>
    </w:rPr>
  </w:style>
  <w:style w:type="character" w:styleId="14">
    <w:name w:val="annotation reference"/>
    <w:semiHidden/>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uiPriority w:val="0"/>
    <w:rPr>
      <w:rFonts w:ascii="Calibri" w:hAnsi="Calibri" w:eastAsia="宋体" w:cs="Times New Roman"/>
    </w:rPr>
  </w:style>
  <w:style w:type="character" w:customStyle="1" w:styleId="18">
    <w:name w:val="批注主题 字符"/>
    <w:basedOn w:val="17"/>
    <w:link w:val="8"/>
    <w:semiHidden/>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uiPriority w:val="0"/>
    <w:pPr>
      <w:ind w:firstLine="420" w:firstLineChars="200"/>
    </w:pPr>
  </w:style>
  <w:style w:type="character" w:customStyle="1" w:styleId="21">
    <w:name w:val="页眉 字符"/>
    <w:basedOn w:val="11"/>
    <w:link w:val="6"/>
    <w:uiPriority w:val="0"/>
    <w:rPr>
      <w:rFonts w:ascii="Calibri" w:hAnsi="Calibri" w:eastAsia="宋体" w:cs="Times New Roman"/>
      <w:sz w:val="18"/>
      <w:szCs w:val="18"/>
    </w:rPr>
  </w:style>
  <w:style w:type="character" w:customStyle="1" w:styleId="22">
    <w:name w:val="页脚 字符"/>
    <w:basedOn w:val="11"/>
    <w:link w:val="5"/>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35D2D-7DA4-4B05-8787-3A05827E62CE}">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4134</Words>
  <Characters>4207</Characters>
  <Lines>37</Lines>
  <Paragraphs>10</Paragraphs>
  <TotalTime>1</TotalTime>
  <ScaleCrop>false</ScaleCrop>
  <LinksUpToDate>false</LinksUpToDate>
  <CharactersWithSpaces>4523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2020-03-06T07:04:00Z</dcterms:created>
  <dc:creator>tai yuzhu</dc:creator>
  <cp:lastModifiedBy>演示人</cp:lastModifiedBy>
  <dcterms:modified xsi:type="dcterms:W3CDTF">2024-08-21T08:34:09Z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AB83FEED965F4B4B8A7F9E9E096BFA95_12</vt:lpwstr>
  </property>
</Properties>
</file>