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b w:val="0"/>
          <w:bCs w:val="0"/>
          <w:sz w:val="30"/>
        </w:rPr>
      </w:pPr>
      <w:bookmarkStart w:id="0" w:name="_Toc24724706"/>
      <w:r>
        <w:rPr>
          <w:rFonts w:hint="eastAsia" w:ascii="方正小标宋_GBK" w:hAnsi="方正小标宋_GBK" w:eastAsia="方正小标宋_GBK"/>
          <w:b w:val="0"/>
          <w:bCs w:val="0"/>
          <w:sz w:val="30"/>
        </w:rPr>
        <w:t>（三）义务教育领域基层政务公开标准目录</w:t>
      </w:r>
      <w:bookmarkEnd w:id="0"/>
    </w:p>
    <w:tbl>
      <w:tblPr>
        <w:tblStyle w:val="9"/>
        <w:tblW w:w="15480" w:type="dxa"/>
        <w:tblInd w:w="-7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540"/>
        <w:gridCol w:w="900"/>
        <w:gridCol w:w="2340"/>
        <w:gridCol w:w="2520"/>
        <w:gridCol w:w="1620"/>
        <w:gridCol w:w="900"/>
        <w:gridCol w:w="2160"/>
        <w:gridCol w:w="540"/>
        <w:gridCol w:w="709"/>
        <w:gridCol w:w="11"/>
        <w:gridCol w:w="540"/>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widowControl/>
              <w:jc w:val="center"/>
              <w:rPr>
                <w:rFonts w:hint="eastAsia" w:ascii="黑体" w:hAnsi="Times New Roman" w:eastAsia="黑体"/>
                <w:color w:val="000000"/>
                <w:kern w:val="0"/>
                <w:sz w:val="22"/>
              </w:rPr>
            </w:pPr>
            <w:r>
              <w:rPr>
                <w:rFonts w:hint="eastAsia" w:ascii="黑体" w:hAnsi="宋体" w:eastAsia="黑体"/>
                <w:color w:val="000000"/>
                <w:kern w:val="0"/>
                <w:sz w:val="22"/>
              </w:rPr>
              <w:t>序号</w:t>
            </w:r>
          </w:p>
        </w:tc>
        <w:tc>
          <w:tcPr>
            <w:tcW w:w="1440" w:type="dxa"/>
            <w:gridSpan w:val="2"/>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公开事项</w:t>
            </w:r>
          </w:p>
        </w:tc>
        <w:tc>
          <w:tcPr>
            <w:tcW w:w="2340" w:type="dxa"/>
            <w:vMerge w:val="restart"/>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520" w:type="dxa"/>
            <w:vMerge w:val="restart"/>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公开依据</w:t>
            </w:r>
          </w:p>
        </w:tc>
        <w:tc>
          <w:tcPr>
            <w:tcW w:w="1620" w:type="dxa"/>
            <w:vMerge w:val="restart"/>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公开主体</w:t>
            </w:r>
          </w:p>
        </w:tc>
        <w:tc>
          <w:tcPr>
            <w:tcW w:w="2160" w:type="dxa"/>
            <w:vMerge w:val="restart"/>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公开渠道和载体</w:t>
            </w:r>
          </w:p>
        </w:tc>
        <w:tc>
          <w:tcPr>
            <w:tcW w:w="1249" w:type="dxa"/>
            <w:gridSpan w:val="2"/>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3"/>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widowControl/>
              <w:jc w:val="left"/>
              <w:rPr>
                <w:rFonts w:hint="eastAsia" w:ascii="黑体" w:hAnsi="Times New Roman" w:eastAsia="黑体"/>
                <w:color w:val="000000"/>
                <w:kern w:val="0"/>
                <w:sz w:val="22"/>
              </w:rPr>
            </w:pPr>
          </w:p>
        </w:tc>
        <w:tc>
          <w:tcPr>
            <w:tcW w:w="54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一级事项</w:t>
            </w:r>
          </w:p>
        </w:tc>
        <w:tc>
          <w:tcPr>
            <w:tcW w:w="90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二级事项</w:t>
            </w:r>
          </w:p>
        </w:tc>
        <w:tc>
          <w:tcPr>
            <w:tcW w:w="2340" w:type="dxa"/>
            <w:vMerge w:val="continue"/>
            <w:vAlign w:val="center"/>
          </w:tcPr>
          <w:p>
            <w:pPr>
              <w:widowControl/>
              <w:jc w:val="left"/>
              <w:rPr>
                <w:rFonts w:hint="eastAsia" w:ascii="黑体" w:hAnsi="宋体" w:eastAsia="黑体" w:cs="宋体"/>
                <w:color w:val="000000"/>
                <w:kern w:val="0"/>
                <w:sz w:val="22"/>
              </w:rPr>
            </w:pPr>
          </w:p>
        </w:tc>
        <w:tc>
          <w:tcPr>
            <w:tcW w:w="2520" w:type="dxa"/>
            <w:vMerge w:val="continue"/>
            <w:vAlign w:val="center"/>
          </w:tcPr>
          <w:p>
            <w:pPr>
              <w:widowControl/>
              <w:jc w:val="left"/>
              <w:rPr>
                <w:rFonts w:hint="eastAsia" w:ascii="黑体" w:hAnsi="宋体" w:eastAsia="黑体" w:cs="宋体"/>
                <w:color w:val="000000"/>
                <w:kern w:val="0"/>
                <w:sz w:val="22"/>
              </w:rPr>
            </w:pPr>
          </w:p>
        </w:tc>
        <w:tc>
          <w:tcPr>
            <w:tcW w:w="1620" w:type="dxa"/>
            <w:vMerge w:val="continue"/>
            <w:vAlign w:val="center"/>
          </w:tcPr>
          <w:p>
            <w:pPr>
              <w:widowControl/>
              <w:jc w:val="left"/>
              <w:rPr>
                <w:rFonts w:hint="eastAsia" w:ascii="黑体" w:hAnsi="宋体" w:eastAsia="黑体" w:cs="宋体"/>
                <w:color w:val="000000"/>
                <w:kern w:val="0"/>
                <w:sz w:val="22"/>
              </w:rPr>
            </w:pPr>
          </w:p>
        </w:tc>
        <w:tc>
          <w:tcPr>
            <w:tcW w:w="900" w:type="dxa"/>
            <w:vMerge w:val="continue"/>
            <w:vAlign w:val="center"/>
          </w:tcPr>
          <w:p>
            <w:pPr>
              <w:widowControl/>
              <w:jc w:val="left"/>
              <w:rPr>
                <w:rFonts w:hint="eastAsia" w:ascii="黑体" w:hAnsi="宋体" w:eastAsia="黑体" w:cs="宋体"/>
                <w:color w:val="000000"/>
                <w:kern w:val="0"/>
                <w:sz w:val="22"/>
              </w:rPr>
            </w:pPr>
          </w:p>
        </w:tc>
        <w:tc>
          <w:tcPr>
            <w:tcW w:w="2160" w:type="dxa"/>
            <w:vMerge w:val="continue"/>
            <w:vAlign w:val="center"/>
          </w:tcPr>
          <w:p>
            <w:pPr>
              <w:widowControl/>
              <w:jc w:val="left"/>
              <w:rPr>
                <w:rFonts w:hint="eastAsia" w:ascii="黑体" w:hAnsi="宋体" w:eastAsia="黑体" w:cs="宋体"/>
                <w:kern w:val="0"/>
                <w:sz w:val="22"/>
              </w:rPr>
            </w:pPr>
          </w:p>
        </w:tc>
        <w:tc>
          <w:tcPr>
            <w:tcW w:w="54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gridSpan w:val="2"/>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政策</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文件</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教育法律</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《教育法》、《义务教育法》、《民办教育促进法》、《教师法》、《国家</w:t>
            </w:r>
            <w:bookmarkStart w:id="1" w:name="_GoBack"/>
            <w:bookmarkEnd w:id="1"/>
            <w:r>
              <w:rPr>
                <w:rFonts w:hint="eastAsia" w:ascii="仿宋_GB2312" w:hAnsi="宋体" w:eastAsia="仿宋_GB2312"/>
                <w:color w:val="000000"/>
                <w:sz w:val="18"/>
                <w:szCs w:val="18"/>
              </w:rPr>
              <w:t>通用语言文字法》</w:t>
            </w:r>
          </w:p>
        </w:tc>
        <w:tc>
          <w:tcPr>
            <w:tcW w:w="2520" w:type="dxa"/>
            <w:shd w:val="clear" w:color="auto" w:fill="auto"/>
            <w:vAlign w:val="center"/>
          </w:tcPr>
          <w:p>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规范性文件</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部门和地方政府规章、各类教育政策文件</w:t>
            </w:r>
          </w:p>
        </w:tc>
        <w:tc>
          <w:tcPr>
            <w:tcW w:w="2520" w:type="dxa"/>
            <w:shd w:val="clear" w:color="auto" w:fill="auto"/>
            <w:vAlign w:val="center"/>
          </w:tcPr>
          <w:p>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■政府公报</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2</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教育概况</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52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《统计法》、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、《教育统计管理规定》</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教育统计数据</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学校数据、在校生数据、教师数据、办学条件数据、县级汇总数据</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义务教育学校名录</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学校名称、学校地址、办学层次、办学类型、办公电话</w:t>
            </w:r>
          </w:p>
        </w:tc>
        <w:tc>
          <w:tcPr>
            <w:tcW w:w="2520" w:type="dxa"/>
            <w:shd w:val="clear" w:color="auto" w:fill="auto"/>
            <w:vAlign w:val="center"/>
          </w:tcPr>
          <w:p>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8" w:hRule="atLeas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3</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民办学校信息</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民办学校办学基本信息</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学校名称、办学许可证、办学规模、联系方式</w:t>
            </w:r>
          </w:p>
        </w:tc>
        <w:tc>
          <w:tcPr>
            <w:tcW w:w="252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《民办教育促进法》、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、《国务院关于鼓励社会力量兴办教育 促进民办教育健康发展的若干意见》</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民办学校设立、变更、终止等事项行政审批、备案信息</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法律依据、办理流程、审批结果</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           ■公开查阅点</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日常监管信息</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年检指标、年检程序、年检结果、行政处罚信息</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4</w:t>
            </w:r>
          </w:p>
        </w:tc>
        <w:tc>
          <w:tcPr>
            <w:tcW w:w="54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900" w:type="dxa"/>
            <w:shd w:val="clear" w:color="auto" w:fill="auto"/>
            <w:noWrap/>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2340" w:type="dxa"/>
            <w:shd w:val="clear" w:color="auto" w:fill="auto"/>
            <w:vAlign w:val="center"/>
          </w:tcPr>
          <w:p>
            <w:pPr>
              <w:jc w:val="left"/>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财务管理及监督办法、</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年度经费预决算信息、收费项目及收费标准</w:t>
            </w:r>
          </w:p>
        </w:tc>
        <w:tc>
          <w:tcPr>
            <w:tcW w:w="2520" w:type="dxa"/>
            <w:shd w:val="clear" w:color="auto" w:fill="auto"/>
            <w:vAlign w:val="center"/>
          </w:tcPr>
          <w:p>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学校介绍</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办学性质、办学地点、办学规模、办学基本条件、联系方式等</w:t>
            </w:r>
          </w:p>
        </w:tc>
        <w:tc>
          <w:tcPr>
            <w:tcW w:w="2520" w:type="dxa"/>
            <w:vMerge w:val="restart"/>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noWrap/>
            <w:vAlign w:val="center"/>
          </w:tcPr>
          <w:p>
            <w:pPr>
              <w:rPr>
                <w:rFonts w:hint="eastAsia" w:ascii="仿宋_GB2312" w:hAnsi="宋体" w:eastAsia="仿宋_GB2312"/>
                <w:sz w:val="18"/>
                <w:szCs w:val="18"/>
              </w:rPr>
            </w:pPr>
            <w:r>
              <w:rPr>
                <w:rFonts w:hint="eastAsia" w:ascii="仿宋_GB2312" w:hAnsi="宋体" w:eastAsia="仿宋_GB2312"/>
                <w:sz w:val="18"/>
                <w:szCs w:val="18"/>
              </w:rPr>
              <w:t>招生政策</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各校招生工作实施方案；随迁子女入学办法；部分适龄儿童或少年延缓入学、休学等特殊需求的政策解读等</w:t>
            </w:r>
          </w:p>
        </w:tc>
        <w:tc>
          <w:tcPr>
            <w:tcW w:w="2520" w:type="dxa"/>
            <w:vMerge w:val="continue"/>
            <w:vAlign w:val="center"/>
          </w:tcPr>
          <w:p>
            <w:pPr>
              <w:rPr>
                <w:rFonts w:hint="eastAsia" w:ascii="仿宋_GB2312" w:hAnsi="宋体" w:eastAsia="仿宋_GB2312" w:cs="宋体"/>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■纸质媒体           ■公开查阅点</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招生计划</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各校本年度招生计划</w:t>
            </w:r>
          </w:p>
        </w:tc>
        <w:tc>
          <w:tcPr>
            <w:tcW w:w="2520" w:type="dxa"/>
            <w:vMerge w:val="restart"/>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noWrap/>
            <w:vAlign w:val="center"/>
          </w:tcPr>
          <w:p>
            <w:pPr>
              <w:rPr>
                <w:rFonts w:hint="eastAsia" w:ascii="仿宋_GB2312" w:hAnsi="宋体" w:eastAsia="仿宋_GB2312"/>
                <w:sz w:val="18"/>
                <w:szCs w:val="18"/>
              </w:rPr>
            </w:pPr>
            <w:r>
              <w:rPr>
                <w:rFonts w:hint="eastAsia" w:ascii="仿宋_GB2312" w:hAnsi="宋体" w:eastAsia="仿宋_GB2312"/>
                <w:sz w:val="18"/>
                <w:szCs w:val="18"/>
              </w:rPr>
              <w:t>招生范围</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招生范围、学区划分详细情况</w:t>
            </w:r>
          </w:p>
        </w:tc>
        <w:tc>
          <w:tcPr>
            <w:tcW w:w="2520" w:type="dxa"/>
            <w:vMerge w:val="continue"/>
            <w:vAlign w:val="center"/>
          </w:tcPr>
          <w:p>
            <w:pPr>
              <w:rPr>
                <w:rFonts w:hint="eastAsia" w:ascii="仿宋_GB2312" w:hAnsi="宋体" w:eastAsia="仿宋_GB2312" w:cs="宋体"/>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招生结果</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各校本年度招生结果</w:t>
            </w:r>
          </w:p>
        </w:tc>
        <w:tc>
          <w:tcPr>
            <w:tcW w:w="2520" w:type="dxa"/>
            <w:vMerge w:val="continue"/>
            <w:vAlign w:val="center"/>
          </w:tcPr>
          <w:p>
            <w:pPr>
              <w:rPr>
                <w:rFonts w:hint="eastAsia" w:ascii="仿宋_GB2312" w:hAnsi="宋体" w:eastAsia="仿宋_GB2312" w:cs="宋体"/>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vMerge w:val="restart"/>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学生管理</w:t>
            </w: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学籍管理</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区域内义务教育阶段学生休学、复学、转学相关政策及所需材料和办理流程；适龄儿童延缓入学所需材料及办理流程；学籍证明、毕（结）业证书遗失办理学历证明确认</w:t>
            </w:r>
          </w:p>
        </w:tc>
        <w:tc>
          <w:tcPr>
            <w:tcW w:w="252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《义务教育法》、</w:t>
            </w: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、《中小学生学籍管理办法》</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rPr>
                <w:rFonts w:hint="eastAsia" w:ascii="仿宋_GB2312" w:hAnsi="仿宋" w:eastAsia="仿宋_GB2312"/>
                <w:sz w:val="18"/>
                <w:szCs w:val="18"/>
              </w:rPr>
            </w:pPr>
            <w:r>
              <w:rPr>
                <w:rFonts w:hint="eastAsia" w:ascii="仿宋_GB2312" w:hAnsi="仿宋" w:eastAsia="仿宋_GB2312"/>
                <w:sz w:val="18"/>
                <w:szCs w:val="18"/>
              </w:rPr>
              <w:t>■两微一端</w:t>
            </w:r>
          </w:p>
          <w:p>
            <w:pPr>
              <w:rPr>
                <w:rFonts w:hint="eastAsia" w:ascii="仿宋_GB2312" w:hAnsi="仿宋" w:eastAsia="仿宋_GB2312" w:cs="宋体"/>
                <w:sz w:val="18"/>
                <w:szCs w:val="18"/>
              </w:rPr>
            </w:pPr>
            <w:r>
              <w:rPr>
                <w:rFonts w:hint="eastAsia" w:ascii="仿宋_GB2312" w:hAnsi="仿宋" w:eastAsia="仿宋_GB2312"/>
                <w:sz w:val="18"/>
                <w:szCs w:val="18"/>
              </w:rPr>
              <w:t xml:space="preserve">■其他：中小学生学籍管理系统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义务教育学生资助政策</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统一城乡义务教育“两免一补”政策</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、《国务院关于进一步完善城乡义务教育经费保障机制的通知》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■公开查阅点</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■社区/企事业单位/村公示栏（电子屏）</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学生评优奖励</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省市县“三好学生”“优秀学生干部”评选标准；评比方法；表彰名单等</w:t>
            </w:r>
          </w:p>
        </w:tc>
        <w:tc>
          <w:tcPr>
            <w:tcW w:w="252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，当地省市县表彰文件</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rPr>
                <w:rFonts w:hint="eastAsia" w:ascii="仿宋_GB2312" w:hAnsi="仿宋" w:eastAsia="仿宋_GB2312"/>
                <w:sz w:val="18"/>
                <w:szCs w:val="18"/>
              </w:rPr>
            </w:pPr>
            <w:r>
              <w:rPr>
                <w:rFonts w:hint="eastAsia" w:ascii="仿宋_GB2312" w:hAnsi="仿宋" w:eastAsia="仿宋_GB2312"/>
                <w:sz w:val="18"/>
                <w:szCs w:val="18"/>
              </w:rPr>
              <w:t>■两微一端</w:t>
            </w:r>
          </w:p>
          <w:p>
            <w:pPr>
              <w:rPr>
                <w:rFonts w:hint="eastAsia" w:ascii="仿宋_GB2312" w:hAnsi="仿宋" w:eastAsia="仿宋_GB2312" w:cs="宋体"/>
                <w:sz w:val="18"/>
                <w:szCs w:val="18"/>
              </w:rPr>
            </w:pPr>
            <w:r>
              <w:rPr>
                <w:rFonts w:hint="eastAsia" w:ascii="仿宋_GB2312" w:hAnsi="仿宋" w:eastAsia="仿宋_GB2312"/>
                <w:sz w:val="18"/>
                <w:szCs w:val="18"/>
              </w:rPr>
              <w:t xml:space="preserve">■社区/企事业单位/村公示栏（电子屏）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shd w:val="clear" w:color="auto" w:fill="auto"/>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学生管理</w:t>
            </w:r>
          </w:p>
        </w:tc>
        <w:tc>
          <w:tcPr>
            <w:tcW w:w="900"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优待政策</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军人子女参加中考优待确认办理的材料、流程和政策要求；少数民族考生中考加分确认办理的材料、流程和政策要求；归侨学生、归侨子女、华侨子女和港澳台籍考生中考加分确认；公安英烈和因公牺牲伤残公安民警子女教育优待细则；综合性消防救援队伍人员及其子女教育优待细则</w:t>
            </w:r>
          </w:p>
        </w:tc>
        <w:tc>
          <w:tcPr>
            <w:tcW w:w="252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军人子女教育优待办法》、《国务院办公厅关于严格执行党和国家民族政策有关问题的通知》、《归侨侨眷权益保护法》、《教育部、国务院台湾事务办公室关于进一步做好台湾同胞子女在大陆中小学和幼儿园就读工作的若干意见》等</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教师培训政策文件、培训项目组织实施通知</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《教育法》、《教师法》、《中小学教师继续教育规定》</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教师资格认定申请材料；参加体检时间、医疗机构名单、体检合格标准；认定结果；咨询方式、监督举报方式、常见问题等</w:t>
            </w:r>
          </w:p>
        </w:tc>
        <w:tc>
          <w:tcPr>
            <w:tcW w:w="252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、《教师资格条例》及实施办法、《教育部关于印发〈教师资格证书管理规定〉的通知》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continue"/>
            <w:vAlign w:val="center"/>
          </w:tcPr>
          <w:p>
            <w:pPr>
              <w:rPr>
                <w:rFonts w:hint="eastAsia" w:ascii="仿宋_GB2312" w:hAnsi="宋体" w:eastAsia="仿宋_GB2312" w:cs="宋体"/>
                <w:color w:val="000000"/>
                <w:sz w:val="18"/>
                <w:szCs w:val="18"/>
              </w:rPr>
            </w:pP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中小学、幼儿园教师资格证书补发、换发政策及流程</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教师公开招聘</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教师招聘计划和公告、拟聘用人员名单公示</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、《事业单位公开招聘人员暂行规定》、《关于进一步规范事业单位公开招聘工作的通知》、《人力资源社会保障部关于事业单位公开招聘岗位条件设置有关问题的通知》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■纸质媒体           ■社区/企事业单位/村公示栏（电子屏）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教师</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行为</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规范</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教师职业行为准则及违规处理办法</w:t>
            </w:r>
          </w:p>
        </w:tc>
        <w:tc>
          <w:tcPr>
            <w:tcW w:w="252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新时代高校教师职业行为十项准则》、《新时代中小学教师职业行为十项准则》、《新时代幼儿园教师职业行为十项准则》、《中小学教师违反职业道德行为处理办法（2018年修订）》、《幼儿园教师违反职业道德行为处理办法》等</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continue"/>
            <w:vAlign w:val="center"/>
          </w:tcPr>
          <w:p>
            <w:pPr>
              <w:rPr>
                <w:rFonts w:hint="eastAsia" w:ascii="仿宋_GB2312" w:hAnsi="宋体" w:eastAsia="仿宋_GB2312" w:cs="宋体"/>
                <w:color w:val="000000"/>
                <w:sz w:val="18"/>
                <w:szCs w:val="18"/>
              </w:rPr>
            </w:pP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对教师有严重违反教师职业行为准则的行政处罚信息</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教师评优评先</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优秀教师的表彰、奖励等行政奖励信息公示</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《教师法》、《中共中央 国务院关于全面深化新时代教师队伍建设改革的意见》</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continue"/>
            <w:vAlign w:val="center"/>
          </w:tcPr>
          <w:p>
            <w:pPr>
              <w:rPr>
                <w:rFonts w:hint="eastAsia" w:ascii="仿宋_GB2312" w:hAnsi="宋体" w:eastAsia="仿宋_GB2312" w:cs="宋体"/>
                <w:color w:val="000000"/>
                <w:sz w:val="18"/>
                <w:szCs w:val="18"/>
              </w:rPr>
            </w:pP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任教30年乡村教师以上教师申请荣誉证书相关政策</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、《关于做好乡村学校从教30年教师荣誉证书颁发工作的通知》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教师职称评审</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评审政策、评审通知、学校拟推荐人选名单、评审结果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、最终结果</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、《人力资源社会保障部教育部关于印发深化中小学教师职称制度改革的指导意见的通知》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教师</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特岗教师招聘</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岗位设置管理政策、条件、程序等；特岗教师招聘文件及招聘公告；初审结果；笔试成绩；资格复审结果；参加面试人员、面试成绩；进入考察人员名单；拟聘用人员名单；最终聘用结果</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 人事部 中央编办 关于实施农村义务教育阶段学校教师特设岗位计划的通知》、《教育部 财政部 人力资源社会保障部 中央编办 关于继续组织实施“农村义务教育阶段学校教师特设岗位计划”的通知》等</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应聘</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人员</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乡村教师生活补助</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管理制度、实施方案、实施时间、补助范围、发放对象、补助档次标准、发放情况</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财政部关于落实2013年中央1号文件要求对在连片特困地区工作的乡村教师给予生活补助的通知》、《教育部关于加强乡村教师生活补助经费管理有关工作的通知》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信息形成（变更）3个工作日内；教师申领情况进行常年公示</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■两微一端           ■公开查阅点</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普通话培训及测试</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开展普通话培训、测试的通知；测试结果查询</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、《普通话水平测试管理规定》</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4" w:hRule="atLeas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8</w:t>
            </w:r>
          </w:p>
        </w:tc>
        <w:tc>
          <w:tcPr>
            <w:tcW w:w="540" w:type="dxa"/>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控辍保学</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“一县一策”控辍保学工作方案；年度工作进展情况（含义务教育学生失学、辍学的总体情况，建档立卡家庭贫困学生总体就学情况）；督导检查结果公告；典型经验和有效做法</w:t>
            </w:r>
          </w:p>
        </w:tc>
        <w:tc>
          <w:tcPr>
            <w:tcW w:w="252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、《国务院办公厅关于进一步加强控辍保学提高义务教育巩固水平的通知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spacing w:line="240" w:lineRule="exact"/>
              <w:rPr>
                <w:rFonts w:hint="eastAsia" w:ascii="仿宋_GB2312" w:hAnsi="仿宋" w:eastAsia="仿宋_GB2312"/>
                <w:sz w:val="18"/>
                <w:szCs w:val="18"/>
              </w:rPr>
            </w:pPr>
            <w:r>
              <w:rPr>
                <w:rFonts w:hint="eastAsia" w:ascii="仿宋_GB2312" w:hAnsi="仿宋" w:eastAsia="仿宋_GB2312"/>
                <w:sz w:val="18"/>
                <w:szCs w:val="18"/>
              </w:rPr>
              <w:t>■政府网站</w:t>
            </w:r>
          </w:p>
          <w:p>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shd w:val="clear" w:color="auto" w:fill="auto"/>
            <w:vAlign w:val="center"/>
          </w:tcPr>
          <w:p>
            <w:pPr>
              <w:jc w:val="center"/>
              <w:rPr>
                <w:rFonts w:hint="eastAsia" w:ascii="仿宋_GB2312" w:hAnsi="宋体" w:eastAsia="仿宋_GB2312" w:cs="宋体"/>
                <w:color w:val="000000"/>
                <w:sz w:val="18"/>
                <w:szCs w:val="18"/>
              </w:rPr>
            </w:pP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重要政策执行情况</w:t>
            </w:r>
          </w:p>
        </w:tc>
        <w:tc>
          <w:tcPr>
            <w:tcW w:w="90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农村义务教育学生营养改善计划</w:t>
            </w: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有关政策法规、规章、规范性文件；组织机构和职责，举报电话、信箱或电子邮箱</w:t>
            </w:r>
            <w:r>
              <w:rPr>
                <w:rFonts w:hint="eastAsia" w:ascii="仿宋_GB2312" w:hAnsi="宋体" w:eastAsia="仿宋_GB2312"/>
                <w:sz w:val="18"/>
                <w:szCs w:val="18"/>
              </w:rPr>
              <w:br w:type="textWrapping"/>
            </w:r>
            <w:r>
              <w:rPr>
                <w:rFonts w:hint="eastAsia" w:ascii="仿宋_GB2312" w:hAnsi="宋体" w:eastAsia="仿宋_GB2312"/>
                <w:sz w:val="18"/>
                <w:szCs w:val="18"/>
              </w:rPr>
              <w:t>；供餐企业、托餐家庭名单</w:t>
            </w:r>
          </w:p>
        </w:tc>
        <w:tc>
          <w:tcPr>
            <w:tcW w:w="252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《国务院办公厅关于实施农村义务教育学生营养改善计划的意见》《教育部等十五部门关于印发〈农村义务教育学生营养改善计划实施细则〉等五个配套文件的通知》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■纸质媒体           ■公开查阅点</w:t>
            </w:r>
          </w:p>
          <w:p>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■便民服务站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continue"/>
            <w:vAlign w:val="center"/>
          </w:tcPr>
          <w:p>
            <w:pPr>
              <w:rPr>
                <w:rFonts w:hint="eastAsia" w:ascii="仿宋_GB2312" w:hAnsi="宋体" w:eastAsia="仿宋_GB2312" w:cs="宋体"/>
                <w:color w:val="000000"/>
                <w:sz w:val="18"/>
                <w:szCs w:val="18"/>
              </w:rPr>
            </w:pPr>
          </w:p>
        </w:tc>
        <w:tc>
          <w:tcPr>
            <w:tcW w:w="2340"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学校食堂饭菜价格、带量食谱；学校膳食委员会名单；学校管理人员陪餐情况；食品安全突发事件应急预案</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实施营养改善计划的试点学校</w:t>
            </w:r>
          </w:p>
        </w:tc>
        <w:tc>
          <w:tcPr>
            <w:tcW w:w="2160" w:type="dxa"/>
            <w:shd w:val="clear" w:color="auto" w:fill="auto"/>
            <w:vAlign w:val="center"/>
          </w:tcPr>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vMerge w:val="continue"/>
            <w:vAlign w:val="center"/>
          </w:tcPr>
          <w:p>
            <w:pPr>
              <w:rPr>
                <w:rFonts w:hint="eastAsia" w:ascii="仿宋_GB2312" w:hAnsi="宋体" w:eastAsia="仿宋_GB2312" w:cs="宋体"/>
                <w:color w:val="000000"/>
                <w:sz w:val="18"/>
                <w:szCs w:val="18"/>
              </w:rPr>
            </w:pP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供餐企业（单位）配套管理制度，食品安全责任人、供餐方签约人；食品安全突发事件应急预案</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实施营养改善计划的供餐企业（单位）</w:t>
            </w:r>
          </w:p>
        </w:tc>
        <w:tc>
          <w:tcPr>
            <w:tcW w:w="2160" w:type="dxa"/>
            <w:shd w:val="clear" w:color="auto" w:fill="auto"/>
            <w:vAlign w:val="center"/>
          </w:tcPr>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8</w:t>
            </w:r>
          </w:p>
        </w:tc>
        <w:tc>
          <w:tcPr>
            <w:tcW w:w="540" w:type="dxa"/>
            <w:vMerge w:val="restart"/>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学校体育评价</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工作自评结果（体育课、体育训练、体育比赛、体育教师、体育场地、条件保障等）；学校体育发展年度报告（重点反映体育教学改革、体育教师配备、体育经费投入和体育场地设施、学生体质健康测试等方面的情况）</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、教育部关于印发《学生体质健康监测评价办法》等三个文件的通知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sz w:val="18"/>
                <w:szCs w:val="18"/>
              </w:rPr>
            </w:pPr>
          </w:p>
        </w:tc>
        <w:tc>
          <w:tcPr>
            <w:tcW w:w="540" w:type="dxa"/>
            <w:vMerge w:val="continue"/>
            <w:vAlign w:val="center"/>
          </w:tcPr>
          <w:p>
            <w:pPr>
              <w:rPr>
                <w:rFonts w:hint="eastAsia" w:ascii="仿宋_GB2312" w:hAnsi="宋体" w:eastAsia="仿宋_GB2312" w:cs="宋体"/>
                <w:sz w:val="18"/>
                <w:szCs w:val="18"/>
              </w:rPr>
            </w:pP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学校美育评价</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艺术教育工作自评结果（艺术课程、艺术活动、艺术教师、条件保障、特色发展及学生艺术素质测评等）；学校艺术教育发展年度报告（重点反映艺术课程建设、艺术教师配备、艺术教育管理、艺术教育经费投入和设施设备、课外艺术活动、校园文化艺术环境、重点项目推进以及中小学实施学校艺术教育工作自评制度等方面的情况）</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、教育部关于印发《中小学生艺术素质测评办法》等三个文件的通知</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7" w:hRule="atLeast"/>
        </w:trPr>
        <w:tc>
          <w:tcPr>
            <w:tcW w:w="540" w:type="dxa"/>
            <w:vMerge w:val="restart"/>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9</w:t>
            </w:r>
          </w:p>
        </w:tc>
        <w:tc>
          <w:tcPr>
            <w:tcW w:w="540" w:type="dxa"/>
            <w:vMerge w:val="restart"/>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 xml:space="preserve">    教育督导</w:t>
            </w:r>
          </w:p>
        </w:tc>
        <w:tc>
          <w:tcPr>
            <w:tcW w:w="90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机构队伍</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督导部门组成、督学名单、</w:t>
            </w:r>
          </w:p>
        </w:tc>
        <w:tc>
          <w:tcPr>
            <w:tcW w:w="2520" w:type="dxa"/>
            <w:vMerge w:val="restart"/>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《教育督导条例》、《县域义务教育均衡发展督导评估暂行办法》、《县域义务教育优质均衡发展督导评估办法》</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r>
              <w:rPr>
                <w:rFonts w:hint="eastAsia" w:ascii="仿宋_GB2312" w:hAnsi="仿宋" w:eastAsia="仿宋_GB2312"/>
                <w:sz w:val="18"/>
                <w:szCs w:val="18"/>
              </w:rPr>
              <w:br w:type="textWrapping"/>
            </w:r>
            <w:r>
              <w:rPr>
                <w:rFonts w:hint="eastAsia" w:ascii="仿宋_GB2312" w:hAnsi="仿宋" w:eastAsia="仿宋_GB2312"/>
                <w:sz w:val="18"/>
                <w:szCs w:val="18"/>
              </w:rPr>
              <w:t xml:space="preserve">■两微一端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学校督导评估</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年度督导工作计划内容、责任区划分和责任督学名单、责任督学日常督导事项，学校督导评估的办法、指标体系、督导评估报告</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rPr>
                <w:rFonts w:hint="eastAsia" w:ascii="仿宋_GB2312" w:hAnsi="仿宋" w:eastAsia="仿宋_GB2312" w:cs="宋体"/>
                <w:sz w:val="18"/>
                <w:szCs w:val="18"/>
              </w:rPr>
            </w:pPr>
            <w:r>
              <w:rPr>
                <w:rFonts w:hint="eastAsia" w:ascii="仿宋_GB2312" w:hAnsi="仿宋" w:eastAsia="仿宋_GB2312"/>
                <w:sz w:val="18"/>
                <w:szCs w:val="18"/>
              </w:rPr>
              <w:t xml:space="preserve">■两微一端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rPr>
                <w:rFonts w:hint="eastAsia" w:ascii="仿宋_GB2312" w:hAnsi="宋体" w:eastAsia="仿宋_GB2312" w:cs="宋体"/>
                <w:color w:val="000000"/>
                <w:sz w:val="18"/>
                <w:szCs w:val="18"/>
              </w:rPr>
            </w:pPr>
          </w:p>
        </w:tc>
        <w:tc>
          <w:tcPr>
            <w:tcW w:w="540" w:type="dxa"/>
            <w:vMerge w:val="continue"/>
            <w:vAlign w:val="center"/>
          </w:tcPr>
          <w:p>
            <w:pPr>
              <w:rPr>
                <w:rFonts w:hint="eastAsia" w:ascii="仿宋_GB2312" w:hAnsi="宋体" w:eastAsia="仿宋_GB2312" w:cs="宋体"/>
                <w:color w:val="000000"/>
                <w:sz w:val="18"/>
                <w:szCs w:val="18"/>
              </w:rPr>
            </w:pP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义务教育均衡发展督导评估</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义务教育均衡发展有关政策文件、职责权限、管理流程、监督方式、年度工作计划等，义务教育均衡发展状况自评方案及结果，省级教育督导机构对县进行督导评估的工作安排、评估结果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国务院教育督导委员会对义务教育发展均衡县进行认定的结果、报告</w:t>
            </w:r>
          </w:p>
        </w:tc>
        <w:tc>
          <w:tcPr>
            <w:tcW w:w="2520" w:type="dxa"/>
            <w:vMerge w:val="continue"/>
            <w:vAlign w:val="center"/>
          </w:tcPr>
          <w:p>
            <w:pPr>
              <w:rPr>
                <w:rFonts w:hint="eastAsia" w:ascii="仿宋_GB2312" w:hAnsi="宋体" w:eastAsia="仿宋_GB2312" w:cs="宋体"/>
                <w:color w:val="000000"/>
                <w:sz w:val="18"/>
                <w:szCs w:val="18"/>
              </w:rPr>
            </w:pP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rPr>
                <w:rFonts w:hint="eastAsia" w:ascii="仿宋_GB2312" w:hAnsi="仿宋" w:eastAsia="仿宋_GB2312"/>
                <w:sz w:val="18"/>
                <w:szCs w:val="18"/>
              </w:rPr>
            </w:pPr>
            <w:r>
              <w:rPr>
                <w:rFonts w:hint="eastAsia" w:ascii="仿宋_GB2312" w:hAnsi="仿宋" w:eastAsia="仿宋_GB2312"/>
                <w:sz w:val="18"/>
                <w:szCs w:val="18"/>
              </w:rPr>
              <w:t xml:space="preserve">■两微一端  </w:t>
            </w:r>
          </w:p>
          <w:p>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10</w:t>
            </w:r>
          </w:p>
        </w:tc>
        <w:tc>
          <w:tcPr>
            <w:tcW w:w="54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校园安全</w:t>
            </w:r>
          </w:p>
        </w:tc>
        <w:tc>
          <w:tcPr>
            <w:tcW w:w="900" w:type="dxa"/>
            <w:shd w:val="clear" w:color="auto" w:fill="auto"/>
            <w:vAlign w:val="center"/>
          </w:tcPr>
          <w:p>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w:t>
            </w:r>
          </w:p>
        </w:tc>
        <w:tc>
          <w:tcPr>
            <w:tcW w:w="234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校园安全管理法律法规、配套管理制度，学生住宿、用餐、组织活动等安全管理情况，校园安全突发事件应急预案、预警信息、应对情况、调查处理情况，校车使用许可申请政策规定及申请流程</w:t>
            </w:r>
          </w:p>
        </w:tc>
        <w:tc>
          <w:tcPr>
            <w:tcW w:w="2520" w:type="dxa"/>
            <w:shd w:val="clear" w:color="auto" w:fill="auto"/>
            <w:vAlign w:val="center"/>
          </w:tcPr>
          <w:p>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、《国务院办公厅关于加强中小学幼儿园安全风险防控体系建设的意见》、《教育部关于推进中小学信息公开工作的意见》、《校车安全管理条例》</w:t>
            </w:r>
          </w:p>
        </w:tc>
        <w:tc>
          <w:tcPr>
            <w:tcW w:w="162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193aaaef-6f20-4384-bfe5-590d142ee378"/>
  </w:docVars>
  <w:rsids>
    <w:rsidRoot w:val="00416393"/>
    <w:rsid w:val="001E6D63"/>
    <w:rsid w:val="002967AA"/>
    <w:rsid w:val="002E0878"/>
    <w:rsid w:val="00416393"/>
    <w:rsid w:val="42824368"/>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5371</Words>
  <Characters>5417</Characters>
  <Lines>46</Lines>
  <Paragraphs>13</Paragraphs>
  <TotalTime>1</TotalTime>
  <ScaleCrop>false</ScaleCrop>
  <LinksUpToDate>false</LinksUpToDate>
  <CharactersWithSpaces>5870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2020-03-06T04:05:00Z</dcterms:created>
  <dc:creator>tai yuzhu</dc:creator>
  <cp:lastModifiedBy>演示人</cp:lastModifiedBy>
  <dcterms:modified xsi:type="dcterms:W3CDTF">2024-08-21T08:27:25Z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6A41BEE2D82D4CB5990CF6614E92CC46_12</vt:lpwstr>
  </property>
</Properties>
</file>