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Theme="majorEastAsia" w:hAnsiTheme="majorEastAsia" w:eastAsiaTheme="majorEastAsia" w:cstheme="majorEastAsia"/>
          <w:i w:val="0"/>
          <w:iCs w:val="0"/>
          <w:caps w:val="0"/>
          <w:color w:val="222222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222222"/>
          <w:spacing w:val="0"/>
          <w:sz w:val="44"/>
          <w:szCs w:val="44"/>
          <w:shd w:val="clear" w:fill="FFFFFF"/>
          <w:lang w:val="en-US" w:eastAsia="zh-CN"/>
        </w:rPr>
        <w:t>行政处罚信息信用修复流程</w:t>
      </w: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</w:p>
    <w:p>
      <w:pPr>
        <w:ind w:firstLine="640" w:firstLineChars="200"/>
        <w:jc w:val="left"/>
        <w:rPr>
          <w:rFonts w:hint="default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为规范信用信息修复工作，维护信用主体合法权益，进一步提升社会信用体系建设法治化、规范化水平，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现将行政处罚信息信用修复流程告知如下：</w:t>
      </w:r>
    </w:p>
    <w:p>
      <w:pPr>
        <w:ind w:firstLine="643" w:firstLineChars="20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查询企业信用档案</w:t>
      </w:r>
      <w:bookmarkStart w:id="0" w:name="_GoBack"/>
      <w:bookmarkEnd w:id="0"/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在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信用中国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网站搜索需要修复的主体名称或者统一社会信用代码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在行政管理项中，查看行政处罚信息是否达到最短公示期。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在线申请修复按钮为红色，表示已达到政策规定的最短公示期，可以提交信用修复申请。在线申请修复按钮为灰色，表示未达到政策规定的最短公示期，不予提交信用修复申请。</w:t>
      </w:r>
    </w:p>
    <w:p>
      <w:pPr>
        <w:ind w:firstLine="640" w:firstLineChars="200"/>
        <w:jc w:val="left"/>
        <w:rPr>
          <w:rFonts w:hint="default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行政处罚最短公示期为三个月，最长公示期为三年，最短公示期届满后，可按规定申请提前终止公示。最长公示期届满后，相关信息自动停止公示。提前终止公示对法人和非法人组织的行政处罚信息，应当同时满足以下条件：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完全履行行政处罚决定规定的义务，纠正违法行为；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达到最短公示期限；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公开作出信用承诺。承诺内容包括所提交材料真实有效，并明确愿意承担违反承诺的相应责任。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）</w:t>
      </w:r>
    </w:p>
    <w:p>
      <w:pPr>
        <w:ind w:firstLine="643" w:firstLineChars="20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二、相关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信用修复材料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公司法人提交修复材料，需出具《法定代表人身份证明书》，非公司法人提交修复材料，则需要出具《失信行为纠正后的信用信息修复业务办理授权委托书》。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市场监督管理领域的行政处罚，由市场监督管理部门出具《准予信用修复决定书》或者其他准予信用修复的证明材料等。其他行政处罚由处罚机关出具《失信行为纠正后的信用信息修复申请表》，或者其他可说明相关责任义务已履行完毕的材料，如缴交罚款的收据、行政处罚机关出具的相关整改证明材料等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《失信行为纠正后的信用信息修复承诺书》。</w:t>
      </w:r>
    </w:p>
    <w:p>
      <w:pPr>
        <w:ind w:firstLine="643" w:firstLineChars="20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提交修复材料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按照要求上传相应修复材料后点击提交，选择受理地点填写经办人信息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受理地点为处罚机关所在地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经办人信息必须保持和材料填写的经办人信息一致。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）</w:t>
      </w:r>
    </w:p>
    <w:p>
      <w:pPr>
        <w:ind w:firstLine="643" w:firstLineChars="20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四、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查询信用修复进度</w:t>
      </w:r>
    </w:p>
    <w:p>
      <w:pPr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经办人可通过短信中的“办理进度查询码”在信用中国网站在线查看受理情况、审核进度和审核结果，修复的最终结果将以短信形式通知。</w:t>
      </w:r>
    </w:p>
    <w:p>
      <w:pPr>
        <w:ind w:firstLine="643" w:firstLineChars="200"/>
        <w:jc w:val="left"/>
        <w:rPr>
          <w:rFonts w:hint="default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信用中国网站修复材料模板下载地址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及流程指引地址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：https://www.creditchina.gov.cn/xyxf/lczy/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2ZTA3N2UxMjA2NGJlMjg1YTE2MGNlNmU3NDEwZjYifQ=="/>
  </w:docVars>
  <w:rsids>
    <w:rsidRoot w:val="153B7A81"/>
    <w:rsid w:val="153B7A81"/>
    <w:rsid w:val="619F10BA"/>
    <w:rsid w:val="7564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2023-12-05T01:26:00Z</dcterms:created>
  <dc:creator>从前有个赵三火。</dc:creator>
  <cp:lastModifiedBy>从前有个赵三火。</cp:lastModifiedBy>
  <dcterms:modified xsi:type="dcterms:W3CDTF">2023-12-05T07:06:21Z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8C6E5D2282924093B4171443CD827103_13</vt:lpwstr>
  </property>
</Properties>
</file>