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center"/>
        <w:rPr>
          <w:rFonts w:hint="default" w:ascii="Times New Roman" w:hAnsi="Times New Roman" w:cs="Times New Roman"/>
          <w:i w:val="0"/>
          <w:iCs w:val="0"/>
          <w:caps w:val="0"/>
          <w:color w:val="000000"/>
          <w:spacing w:val="0"/>
          <w:sz w:val="31"/>
          <w:szCs w:val="31"/>
        </w:rPr>
      </w:pPr>
      <w:r>
        <w:rPr>
          <w:rFonts w:ascii="方正小标宋简体" w:hAnsi="方正小标宋简体" w:eastAsia="方正小标宋简体" w:cs="方正小标宋简体"/>
          <w:i w:val="0"/>
          <w:iCs w:val="0"/>
          <w:caps w:val="0"/>
          <w:color w:val="000000"/>
          <w:spacing w:val="0"/>
          <w:sz w:val="43"/>
          <w:szCs w:val="43"/>
          <w:bdr w:val="none" w:color="auto" w:sz="0" w:space="0"/>
          <w:shd w:val="clear" w:fill="FFFFFF"/>
        </w:rPr>
        <w:t>内蒙古自治区</w:t>
      </w:r>
      <w:r>
        <w:rPr>
          <w:rFonts w:hint="default" w:ascii="方正小标宋简体" w:hAnsi="方正小标宋简体" w:eastAsia="方正小标宋简体" w:cs="方正小标宋简体"/>
          <w:i w:val="0"/>
          <w:iCs w:val="0"/>
          <w:caps w:val="0"/>
          <w:color w:val="000000"/>
          <w:spacing w:val="0"/>
          <w:sz w:val="43"/>
          <w:szCs w:val="43"/>
          <w:bdr w:val="none" w:color="auto" w:sz="0" w:space="0"/>
          <w:shd w:val="clear" w:fill="FFFFFF"/>
        </w:rPr>
        <w:t>落实食品安全主体责任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center"/>
        <w:rPr>
          <w:rFonts w:hint="default" w:ascii="Times New Roman" w:hAnsi="Times New Roman" w:cs="Times New Roman"/>
          <w:i w:val="0"/>
          <w:iCs w:val="0"/>
          <w:caps w:val="0"/>
          <w:color w:val="000000"/>
          <w:spacing w:val="0"/>
          <w:sz w:val="31"/>
          <w:szCs w:val="31"/>
        </w:rPr>
      </w:pPr>
      <w:r>
        <w:rPr>
          <w:rFonts w:hint="default" w:ascii="方正小标宋简体" w:hAnsi="方正小标宋简体" w:eastAsia="方正小标宋简体" w:cs="方正小标宋简体"/>
          <w:i w:val="0"/>
          <w:iCs w:val="0"/>
          <w:caps w:val="0"/>
          <w:color w:val="000000"/>
          <w:spacing w:val="0"/>
          <w:sz w:val="43"/>
          <w:szCs w:val="43"/>
          <w:bdr w:val="none" w:color="auto" w:sz="0" w:space="0"/>
          <w:shd w:val="clear" w:fill="FFFFFF"/>
        </w:rPr>
        <w:t>监督管理办法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center"/>
        <w:rPr>
          <w:rFonts w:hint="default" w:ascii="Times New Roman" w:hAnsi="Times New Roman" w:cs="Times New Roman"/>
          <w:i w:val="0"/>
          <w:iCs w:val="0"/>
          <w:caps w:val="0"/>
          <w:color w:val="000000"/>
          <w:spacing w:val="0"/>
          <w:sz w:val="31"/>
          <w:szCs w:val="31"/>
        </w:rPr>
      </w:pPr>
      <w:r>
        <w:rPr>
          <w:rFonts w:ascii="仿宋" w:hAnsi="仿宋" w:eastAsia="仿宋" w:cs="仿宋"/>
          <w:i w:val="0"/>
          <w:iCs w:val="0"/>
          <w:caps w:val="0"/>
          <w:color w:val="000000"/>
          <w:spacing w:val="0"/>
          <w:sz w:val="28"/>
          <w:szCs w:val="28"/>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ascii="仿宋_GB2312" w:hAnsi="微软雅黑" w:eastAsia="仿宋_GB2312" w:cs="仿宋_GB2312"/>
          <w:i w:val="0"/>
          <w:iCs w:val="0"/>
          <w:caps w:val="0"/>
          <w:color w:val="000000"/>
          <w:spacing w:val="0"/>
          <w:sz w:val="31"/>
          <w:szCs w:val="31"/>
          <w:bdr w:val="none" w:color="auto" w:sz="0" w:space="0"/>
          <w:shd w:val="clear" w:fill="FFFFFF"/>
        </w:rPr>
        <w:t>第一条</w:t>
      </w:r>
      <w:r>
        <w:rPr>
          <w:rFonts w:hint="default" w:ascii="仿宋_GB2312" w:hAnsi="Times New Roman" w:eastAsia="仿宋_GB2312" w:cs="仿宋_GB2312"/>
          <w:i w:val="0"/>
          <w:iCs w:val="0"/>
          <w:caps w:val="0"/>
          <w:color w:val="000000"/>
          <w:spacing w:val="0"/>
          <w:sz w:val="31"/>
          <w:szCs w:val="31"/>
          <w:bdr w:val="none" w:color="auto" w:sz="0" w:space="0"/>
          <w:shd w:val="clear" w:fill="FFFFFF"/>
        </w:rPr>
        <w:t>　为了督促食品生产经营者落实食品安全主体责任，强化食品生产经营者主要负责人以及食品安全总监、食品安全员等食品安全管理人员食品安全</w:t>
      </w:r>
      <w:bookmarkStart w:id="0" w:name="_GoBack"/>
      <w:bookmarkEnd w:id="0"/>
      <w:r>
        <w:rPr>
          <w:rFonts w:hint="default" w:ascii="仿宋_GB2312" w:hAnsi="Times New Roman" w:eastAsia="仿宋_GB2312" w:cs="仿宋_GB2312"/>
          <w:i w:val="0"/>
          <w:iCs w:val="0"/>
          <w:caps w:val="0"/>
          <w:color w:val="000000"/>
          <w:spacing w:val="0"/>
          <w:sz w:val="31"/>
          <w:szCs w:val="31"/>
          <w:bdr w:val="none" w:color="auto" w:sz="0" w:space="0"/>
          <w:shd w:val="clear" w:fill="FFFFFF"/>
        </w:rPr>
        <w:t>责任，规范其行为，根据《中华人民共和国食品安全法》（以下简称《食品安全法》）及其实施条例、《企业落实食品安全主体责任监督管理规定》（以下简称《规定》）《内蒙古自治区食品小作坊小餐饮店小食杂店和食品摊贩管理条例》等法律、法规、规章规定，结合自治区实际，制定本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第二条</w:t>
      </w:r>
      <w:r>
        <w:rPr>
          <w:rFonts w:hint="default" w:ascii="Times New Roman" w:hAnsi="Times New Roman" w:cs="Times New Roman"/>
          <w:i w:val="0"/>
          <w:iCs w:val="0"/>
          <w:caps w:val="0"/>
          <w:color w:val="000000"/>
          <w:spacing w:val="0"/>
          <w:sz w:val="31"/>
          <w:szCs w:val="31"/>
          <w:bdr w:val="none" w:color="auto" w:sz="0" w:space="0"/>
          <w:shd w:val="clear" w:fill="FFFFFF"/>
        </w:rPr>
        <w:t>　</w:t>
      </w:r>
      <w:r>
        <w:rPr>
          <w:rFonts w:hint="default" w:ascii="仿宋_GB2312" w:hAnsi="Times New Roman" w:eastAsia="仿宋_GB2312" w:cs="仿宋_GB2312"/>
          <w:i w:val="0"/>
          <w:iCs w:val="0"/>
          <w:caps w:val="0"/>
          <w:color w:val="000000"/>
          <w:spacing w:val="0"/>
          <w:sz w:val="31"/>
          <w:szCs w:val="31"/>
          <w:bdr w:val="none" w:color="auto" w:sz="0" w:space="0"/>
          <w:shd w:val="clear" w:fill="FFFFFF"/>
        </w:rPr>
        <w:t>自治区行政区域内，食品生产经营者及其主要负责人以及食品安全总监、食品安全员等食品安全管理人员，依法落实食品安全责任的行为及其监督管理，适用本办法。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第三条</w:t>
      </w:r>
      <w:r>
        <w:rPr>
          <w:rFonts w:hint="default" w:ascii="仿宋_GB2312" w:hAnsi="Times New Roman" w:eastAsia="仿宋_GB2312" w:cs="仿宋_GB2312"/>
          <w:i w:val="0"/>
          <w:iCs w:val="0"/>
          <w:caps w:val="0"/>
          <w:color w:val="000000"/>
          <w:spacing w:val="0"/>
          <w:sz w:val="31"/>
          <w:szCs w:val="31"/>
          <w:bdr w:val="none" w:color="auto" w:sz="0" w:space="0"/>
          <w:shd w:val="clear" w:fill="FFFFFF"/>
        </w:rPr>
        <w:t>　本办法所称食品生产经营者包括食品生产经营企业、各类单位食堂和从事食品生产经营的个体工商户、农民专业合作社（联合社）及其分支机构、食品摊贩。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第四条</w:t>
      </w:r>
      <w:r>
        <w:rPr>
          <w:rFonts w:hint="default" w:ascii="仿宋_GB2312" w:hAnsi="Times New Roman" w:eastAsia="仿宋_GB2312" w:cs="仿宋_GB2312"/>
          <w:i w:val="0"/>
          <w:iCs w:val="0"/>
          <w:caps w:val="0"/>
          <w:color w:val="000000"/>
          <w:spacing w:val="0"/>
          <w:sz w:val="31"/>
          <w:szCs w:val="31"/>
          <w:bdr w:val="none" w:color="auto" w:sz="0" w:space="0"/>
          <w:shd w:val="clear" w:fill="FFFFFF"/>
        </w:rPr>
        <w:t>　食品安全主体责任指食品生产经营者及其主要负责人以及食品安全总监、食品安全员等食品安全管理人员依照法律、法规、规章和食品安全标准，保证食品安全，诚信自律，对社会和公众负责，接受社会监督，承担社会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第五条</w:t>
      </w:r>
      <w:r>
        <w:rPr>
          <w:rFonts w:hint="default" w:ascii="Times New Roman" w:hAnsi="Times New Roman" w:cs="Times New Roman"/>
          <w:i w:val="0"/>
          <w:iCs w:val="0"/>
          <w:caps w:val="0"/>
          <w:color w:val="000000"/>
          <w:spacing w:val="0"/>
          <w:sz w:val="31"/>
          <w:szCs w:val="31"/>
          <w:bdr w:val="none" w:color="auto" w:sz="0" w:space="0"/>
          <w:shd w:val="clear" w:fill="FFFFFF"/>
        </w:rPr>
        <w:t>　</w:t>
      </w:r>
      <w:r>
        <w:rPr>
          <w:rFonts w:hint="default" w:ascii="仿宋_GB2312" w:hAnsi="Times New Roman" w:eastAsia="仿宋_GB2312" w:cs="仿宋_GB2312"/>
          <w:i w:val="0"/>
          <w:iCs w:val="0"/>
          <w:caps w:val="0"/>
          <w:color w:val="000000"/>
          <w:spacing w:val="0"/>
          <w:sz w:val="31"/>
          <w:szCs w:val="31"/>
          <w:bdr w:val="none" w:color="auto" w:sz="0" w:space="0"/>
          <w:shd w:val="clear" w:fill="FFFFFF"/>
        </w:rPr>
        <w:t>食品生产经营者的主要负责人是食品安全第一责任人，对落实本单位的食品安全主体责任全面负责，履行以下食品安全主体责任：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（一）落实企业食品安全管理制度，建立并落实企业的食品安全责任制，加强供货者管理、进货查验和生产过程控制、出厂检验、食品安全自查等工作；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（二）支持和保障食品安全总监、食品安全员依法开展食品安全管理工作，在作出涉及食品安全的重大决策前，应当充分听取食品安全总监和食品安全员的意见和建议；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（三）发现有食品安全事故潜在风险的，应当立即停止相关食品生产经营活动，立即分析研判，采取处置措施，消除风险隐患；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（四）发生食品安全事故的，应当立即采取措施，防止事故扩大，事故单位和接收病人进行治疗的单位应当及时向事故发生地旗县级人民政府市场监督管理、卫生行政部门报告。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食品生产经营者的主要负责人是指在本单位食品生产经营中承担全面领导责任的法定代表人、实际控制人等主要决策人。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第六条</w:t>
      </w:r>
      <w:r>
        <w:rPr>
          <w:rFonts w:hint="default" w:ascii="Times New Roman" w:hAnsi="Times New Roman" w:cs="Times New Roman"/>
          <w:i w:val="0"/>
          <w:iCs w:val="0"/>
          <w:caps w:val="0"/>
          <w:color w:val="000000"/>
          <w:spacing w:val="0"/>
          <w:sz w:val="31"/>
          <w:szCs w:val="31"/>
          <w:bdr w:val="none" w:color="auto" w:sz="0" w:space="0"/>
          <w:shd w:val="clear" w:fill="FFFFFF"/>
        </w:rPr>
        <w:t>　</w:t>
      </w:r>
      <w:r>
        <w:rPr>
          <w:rFonts w:hint="default" w:ascii="仿宋_GB2312" w:hAnsi="Times New Roman" w:eastAsia="仿宋_GB2312" w:cs="仿宋_GB2312"/>
          <w:i w:val="0"/>
          <w:iCs w:val="0"/>
          <w:caps w:val="0"/>
          <w:color w:val="000000"/>
          <w:spacing w:val="0"/>
          <w:sz w:val="31"/>
          <w:szCs w:val="31"/>
          <w:bdr w:val="none" w:color="auto" w:sz="0" w:space="0"/>
          <w:shd w:val="clear" w:fill="FFFFFF"/>
        </w:rPr>
        <w:t>特殊食品生产企业、大中型食品生产企业、大中型餐饮服务企业、连锁餐饮企业总部、大中型食品销售企业、连锁销售企业总部和用餐人数300人以上的托幼机构食堂、用餐人数500人以上的学校食堂，以及用餐人数或者供餐人数超过1000人的其他用餐单位应当按照《规定》配备食品安全总监和食品安全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不配备食品安全总监的食品生产经营企业、用餐人数300（含）人以下的托幼机构食堂、用餐人数500（含）人以下的学校食堂，以及用餐人数或者供餐人数1000（含）人以下的其他用餐单位，应当按照《规定》配备食品安全员，食品安全管理部门负责人为食品安全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食品安全总监、食品安全员应通过下发文件或任命书、聘书等形式明确。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从事食品生产经营的个体工商户和农民专业合作社（联合社）以及分支机构的负责人、食品摊贩经营者结合自身实际，依照本办法履行食品安全员的职责。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第七条</w:t>
      </w:r>
      <w:r>
        <w:rPr>
          <w:rFonts w:hint="default" w:ascii="仿宋_GB2312" w:hAnsi="Times New Roman" w:eastAsia="仿宋_GB2312" w:cs="仿宋_GB2312"/>
          <w:i w:val="0"/>
          <w:iCs w:val="0"/>
          <w:caps w:val="0"/>
          <w:color w:val="000000"/>
          <w:spacing w:val="0"/>
          <w:sz w:val="31"/>
          <w:szCs w:val="31"/>
          <w:bdr w:val="none" w:color="auto" w:sz="0" w:space="0"/>
          <w:shd w:val="clear" w:fill="FFFFFF"/>
        </w:rPr>
        <w:t>　食品安全总监和食品安全员等食品安全管理人员应当具备《食品安全法》和《规定》等法律、法规、规章规定的相应食品安全管理能力。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因食品安全犯罪被判处有期徒刑以上刑罚的人员，终身不得担任食品安全总监、食品安全员。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第八条</w:t>
      </w:r>
      <w:r>
        <w:rPr>
          <w:rFonts w:hint="default" w:ascii="仿宋_GB2312" w:hAnsi="Times New Roman" w:eastAsia="仿宋_GB2312" w:cs="仿宋_GB2312"/>
          <w:i w:val="0"/>
          <w:iCs w:val="0"/>
          <w:caps w:val="0"/>
          <w:color w:val="000000"/>
          <w:spacing w:val="0"/>
          <w:sz w:val="31"/>
          <w:szCs w:val="31"/>
          <w:bdr w:val="none" w:color="auto" w:sz="0" w:space="0"/>
          <w:shd w:val="clear" w:fill="FFFFFF"/>
        </w:rPr>
        <w:t>　食品安全总监和食品安全员等食品安全管理人员应当按照《食品安全法》和《规定》等法律、法规、规章规定承担食品安全管理职责。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食品安全总监、食品安全员等食品安全管理人员发现本单位生产经营环境条件不符合食品安全要求、设施设备存在故障等有食品安全事故潜在风险的，应当向单位主要负责人提出停止相关食品生产经营活动等否决建议，主要负责人应当立即会同有关人员分析研判，采取处置措施，消除风险隐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第九条</w:t>
      </w:r>
      <w:r>
        <w:rPr>
          <w:rFonts w:hint="default" w:ascii="仿宋_GB2312" w:hAnsi="Times New Roman" w:eastAsia="仿宋_GB2312" w:cs="仿宋_GB2312"/>
          <w:i w:val="0"/>
          <w:iCs w:val="0"/>
          <w:caps w:val="0"/>
          <w:color w:val="000000"/>
          <w:spacing w:val="0"/>
          <w:sz w:val="31"/>
          <w:szCs w:val="31"/>
          <w:bdr w:val="none" w:color="auto" w:sz="0" w:space="0"/>
          <w:shd w:val="clear" w:fill="FFFFFF"/>
        </w:rPr>
        <w:t>　食品安全总监按照职责要求直接对本企业主要负责人负责，协助主要负责人做好食品安全管理工作，承担下列职责：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（一）组织拟定食品安全管理制度，督促落实食品安全责任制，明确从业人员健康管理、供货者管理、进货查验、经营过程控制、追溯体系建设、投诉举报处理等食品安全方面的责任要求；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二）组织拟定并督促落实食品安全风险防控措施，定期组织食品安全自查，评估食品安全状况，及时向主要负责人报告食品安全工作情况并提出改进措施，阻止、纠正食品安全违法行为，按照规定组织实施食品召回；</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（三）组织拟定食品安全事故处置方案，组织开展应急演练，落实食品安全事故报告义务，采取措施防止事故扩大；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（四）负责管理、督促、指导食品安全员按照职责做好相关工作，组织开展职工食品安全教育、培训、考核；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（五）接受和配合监督管理部门开展食品安全监督检查等工作，如实提供有关情况；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（六）其他食品安全管理责任。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食品生产经营者应当按照前款规定，结合自身实际，细化制定《食品安全总监职责》。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第十条</w:t>
      </w:r>
      <w:r>
        <w:rPr>
          <w:rFonts w:hint="default" w:ascii="仿宋_GB2312" w:hAnsi="Times New Roman" w:eastAsia="仿宋_GB2312" w:cs="仿宋_GB2312"/>
          <w:i w:val="0"/>
          <w:iCs w:val="0"/>
          <w:caps w:val="0"/>
          <w:color w:val="000000"/>
          <w:spacing w:val="0"/>
          <w:sz w:val="31"/>
          <w:szCs w:val="31"/>
          <w:bdr w:val="none" w:color="auto" w:sz="0" w:space="0"/>
          <w:shd w:val="clear" w:fill="FFFFFF"/>
        </w:rPr>
        <w:t>　食品安全员按照职责要求对食品安全总监或者主要负责人负责，从事食品安全管理具体工作，承担下列职责：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（一）督促落实食品生产经营过程控制要求；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（二）检查食品安全管理制度执行情况，管理维护食品安全生产经营过程记录材料，按照要求保存相关资料；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（三）对不符合食品安全标准的食品或者有证据证明可能危害人体健康的食品以及发现的食品安全风险隐患，及时采取有效措施整改并报告；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（四）记录和管理从业人员健康状况、卫生状况；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（五）配合有关部门调查处理食品安全事故；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（六）其他食品安全管理责任。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食品生产经营者应当按照前款规定，结合自身实际，细化制定《食品安全员守则》。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第十一条</w:t>
      </w:r>
      <w:r>
        <w:rPr>
          <w:rFonts w:hint="default" w:ascii="Times New Roman" w:hAnsi="Times New Roman" w:cs="Times New Roman"/>
          <w:i w:val="0"/>
          <w:iCs w:val="0"/>
          <w:caps w:val="0"/>
          <w:color w:val="000000"/>
          <w:spacing w:val="0"/>
          <w:sz w:val="31"/>
          <w:szCs w:val="31"/>
          <w:bdr w:val="none" w:color="auto" w:sz="0" w:space="0"/>
          <w:shd w:val="clear" w:fill="FFFFFF"/>
        </w:rPr>
        <w:t>　</w:t>
      </w:r>
      <w:r>
        <w:rPr>
          <w:rFonts w:hint="default" w:ascii="仿宋_GB2312" w:hAnsi="Times New Roman" w:eastAsia="仿宋_GB2312" w:cs="仿宋_GB2312"/>
          <w:i w:val="0"/>
          <w:iCs w:val="0"/>
          <w:caps w:val="0"/>
          <w:color w:val="000000"/>
          <w:spacing w:val="0"/>
          <w:sz w:val="31"/>
          <w:szCs w:val="31"/>
          <w:bdr w:val="none" w:color="auto" w:sz="0" w:space="0"/>
          <w:shd w:val="clear" w:fill="FFFFFF"/>
        </w:rPr>
        <w:t>食品生产经营者应当为食品安全总监、食品安全员提供必要的工作条件、教育培训和岗位待遇，充分保障其依法履行职责。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食品生产经营者履行食品安全主体责任情况，应当纳入食品安全风险评级和信用管理。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第十二条</w:t>
      </w:r>
      <w:r>
        <w:rPr>
          <w:rFonts w:hint="default" w:ascii="仿宋_GB2312" w:hAnsi="Times New Roman" w:eastAsia="仿宋_GB2312" w:cs="仿宋_GB2312"/>
          <w:i w:val="0"/>
          <w:iCs w:val="0"/>
          <w:caps w:val="0"/>
          <w:color w:val="000000"/>
          <w:spacing w:val="0"/>
          <w:sz w:val="31"/>
          <w:szCs w:val="31"/>
          <w:bdr w:val="none" w:color="auto" w:sz="0" w:space="0"/>
          <w:shd w:val="clear" w:fill="FFFFFF"/>
        </w:rPr>
        <w:t>　鼓励食品行业协会等社会组织充分发挥行业优势，积极开展培训宣贯、建立健全行业规范和奖惩机制，促进食品生产经营者落实食品安全主体责任。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第十三条</w:t>
      </w:r>
      <w:r>
        <w:rPr>
          <w:rFonts w:hint="default" w:ascii="仿宋_GB2312" w:hAnsi="Times New Roman" w:eastAsia="仿宋_GB2312" w:cs="仿宋_GB2312"/>
          <w:i w:val="0"/>
          <w:iCs w:val="0"/>
          <w:caps w:val="0"/>
          <w:color w:val="000000"/>
          <w:spacing w:val="0"/>
          <w:sz w:val="31"/>
          <w:szCs w:val="31"/>
          <w:bdr w:val="none" w:color="auto" w:sz="0" w:space="0"/>
          <w:shd w:val="clear" w:fill="FFFFFF"/>
        </w:rPr>
        <w:t>　按照本办法规定应当配备食品安全总监、食品安全员的食品生产经营者，应当组织对本单位职工进行食品安全知识培训，对食品安全总监、食品安全员进行法律、法规、标准和专业知识培训、考核，并对培训、考核情况予以记录，存档备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第十四条</w:t>
      </w:r>
      <w:r>
        <w:rPr>
          <w:rFonts w:hint="default" w:ascii="Times New Roman" w:hAnsi="Times New Roman" w:cs="Times New Roman"/>
          <w:i w:val="0"/>
          <w:iCs w:val="0"/>
          <w:caps w:val="0"/>
          <w:color w:val="000000"/>
          <w:spacing w:val="0"/>
          <w:sz w:val="31"/>
          <w:szCs w:val="31"/>
          <w:bdr w:val="none" w:color="auto" w:sz="0" w:space="0"/>
          <w:shd w:val="clear" w:fill="FFFFFF"/>
        </w:rPr>
        <w:t>　</w:t>
      </w:r>
      <w:r>
        <w:rPr>
          <w:rFonts w:hint="default" w:ascii="仿宋_GB2312" w:hAnsi="Times New Roman" w:eastAsia="仿宋_GB2312" w:cs="仿宋_GB2312"/>
          <w:i w:val="0"/>
          <w:iCs w:val="0"/>
          <w:caps w:val="0"/>
          <w:color w:val="000000"/>
          <w:spacing w:val="0"/>
          <w:sz w:val="31"/>
          <w:szCs w:val="31"/>
          <w:bdr w:val="none" w:color="auto" w:sz="0" w:space="0"/>
          <w:shd w:val="clear" w:fill="FFFFFF"/>
        </w:rPr>
        <w:t>自治区市场监督管理部门负责监督指导本行政区域内食品安全管理人员监督抽查考核工作。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旗县级以上市场监督管理部门应当督促指导配备食品安全总监、食品安全员的食品生产经营者开展食品安全总监、食品安全员食品安全知识培训。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旗县级以上市场监督管理部门按照国家市场监督管理总局制定的食品安全管理人员考核规则，组织对本辖区食品生产经营者的食品安全总监、食品安全员随机进行监督抽查考核并公布考核结果。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第十五条</w:t>
      </w:r>
      <w:r>
        <w:rPr>
          <w:rFonts w:hint="default" w:ascii="Times New Roman" w:hAnsi="Times New Roman" w:cs="Times New Roman"/>
          <w:i w:val="0"/>
          <w:iCs w:val="0"/>
          <w:caps w:val="0"/>
          <w:color w:val="000000"/>
          <w:spacing w:val="0"/>
          <w:sz w:val="31"/>
          <w:szCs w:val="31"/>
          <w:bdr w:val="none" w:color="auto" w:sz="0" w:space="0"/>
          <w:shd w:val="clear" w:fill="FFFFFF"/>
        </w:rPr>
        <w:t>　</w:t>
      </w:r>
      <w:r>
        <w:rPr>
          <w:rFonts w:hint="default" w:ascii="仿宋_GB2312" w:hAnsi="Times New Roman" w:eastAsia="仿宋_GB2312" w:cs="仿宋_GB2312"/>
          <w:i w:val="0"/>
          <w:iCs w:val="0"/>
          <w:caps w:val="0"/>
          <w:color w:val="000000"/>
          <w:spacing w:val="0"/>
          <w:sz w:val="31"/>
          <w:szCs w:val="31"/>
          <w:bdr w:val="none" w:color="auto" w:sz="0" w:space="0"/>
          <w:shd w:val="clear" w:fill="FFFFFF"/>
        </w:rPr>
        <w:t>经考核得分80分（含）以上的为合格，得分80分以下的不合格。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食品安全总监、食品安全员经抽查考核为不合格的，食品生产经营者应当立即采取强化食品安全知识培训、调整或暂停履职等整改措施。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食品生产经营者经整改并自评合格的，应当向所在地旗县级市场监督管理部门报告。旗县级市场监督管理部门应当在一个月内对其再次抽查考核，评估整改情况。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经再次抽查考核仍不合格的，由旗县级市场监督管理部门依据《食品安全法》等有关规定，按照未落实食品安全管理责任的相关条款予以处理。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第十六条</w:t>
      </w:r>
      <w:r>
        <w:rPr>
          <w:rFonts w:hint="default" w:ascii="Times New Roman" w:hAnsi="Times New Roman" w:cs="Times New Roman"/>
          <w:i w:val="0"/>
          <w:iCs w:val="0"/>
          <w:caps w:val="0"/>
          <w:color w:val="000000"/>
          <w:spacing w:val="0"/>
          <w:sz w:val="31"/>
          <w:szCs w:val="31"/>
          <w:bdr w:val="none" w:color="auto" w:sz="0" w:space="0"/>
          <w:shd w:val="clear" w:fill="FFFFFF"/>
        </w:rPr>
        <w:t>　</w:t>
      </w:r>
      <w:r>
        <w:rPr>
          <w:rFonts w:hint="default" w:ascii="仿宋_GB2312" w:hAnsi="Times New Roman" w:eastAsia="仿宋_GB2312" w:cs="仿宋_GB2312"/>
          <w:i w:val="0"/>
          <w:iCs w:val="0"/>
          <w:caps w:val="0"/>
          <w:color w:val="000000"/>
          <w:spacing w:val="0"/>
          <w:sz w:val="31"/>
          <w:szCs w:val="31"/>
          <w:bdr w:val="none" w:color="auto" w:sz="0" w:space="0"/>
          <w:shd w:val="clear" w:fill="FFFFFF"/>
        </w:rPr>
        <w:t>食品生产经营者应当结合实际制定食品安全风险管控清单，开展食品安全风险隐患排查，保证食品安全。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旗县级以上市场监督管理部门应当指导食品生产经营者制定食品安全风险管控清单。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鼓励食品生产经营者委托第三方专业技术机构定期对落实食品安全主体责任进行检查和评价。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第十七条</w:t>
      </w:r>
      <w:r>
        <w:rPr>
          <w:rFonts w:hint="default" w:ascii="Times New Roman" w:hAnsi="Times New Roman" w:cs="Times New Roman"/>
          <w:i w:val="0"/>
          <w:iCs w:val="0"/>
          <w:caps w:val="0"/>
          <w:color w:val="000000"/>
          <w:spacing w:val="0"/>
          <w:sz w:val="31"/>
          <w:szCs w:val="31"/>
          <w:bdr w:val="none" w:color="auto" w:sz="0" w:space="0"/>
          <w:shd w:val="clear" w:fill="FFFFFF"/>
        </w:rPr>
        <w:t>　</w:t>
      </w:r>
      <w:r>
        <w:rPr>
          <w:rFonts w:hint="default" w:ascii="仿宋_GB2312" w:hAnsi="Times New Roman" w:eastAsia="仿宋_GB2312" w:cs="仿宋_GB2312"/>
          <w:i w:val="0"/>
          <w:iCs w:val="0"/>
          <w:caps w:val="0"/>
          <w:color w:val="000000"/>
          <w:spacing w:val="0"/>
          <w:sz w:val="31"/>
          <w:szCs w:val="31"/>
          <w:bdr w:val="none" w:color="auto" w:sz="0" w:space="0"/>
          <w:shd w:val="clear" w:fill="FFFFFF"/>
        </w:rPr>
        <w:t>配备食品安全总监、食品安全员的食品生产经营者应当按照《规定》的要求制定并落实日管控、周排查、月调度工作制度和机制，形成《每日食品安全检查记录》《每周食品安全排查治理报告》《每月食品安全调度会议纪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从事食品生产经营的个体工商户、农民专业合作社（联合社）以及分支机构和食品摊贩经营者等食品生产经营主体应当结合自身实际，开展食品安全自查，提高食品安全管理水平。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第十八条</w:t>
      </w:r>
      <w:r>
        <w:rPr>
          <w:rFonts w:hint="default" w:ascii="Times New Roman" w:hAnsi="Times New Roman" w:cs="Times New Roman"/>
          <w:i w:val="0"/>
          <w:iCs w:val="0"/>
          <w:caps w:val="0"/>
          <w:color w:val="000000"/>
          <w:spacing w:val="0"/>
          <w:sz w:val="31"/>
          <w:szCs w:val="31"/>
          <w:bdr w:val="none" w:color="auto" w:sz="0" w:space="0"/>
          <w:shd w:val="clear" w:fill="FFFFFF"/>
        </w:rPr>
        <w:t>　</w:t>
      </w:r>
      <w:r>
        <w:rPr>
          <w:rFonts w:hint="default" w:ascii="仿宋_GB2312" w:hAnsi="Times New Roman" w:eastAsia="仿宋_GB2312" w:cs="仿宋_GB2312"/>
          <w:i w:val="0"/>
          <w:iCs w:val="0"/>
          <w:caps w:val="0"/>
          <w:color w:val="000000"/>
          <w:spacing w:val="0"/>
          <w:sz w:val="31"/>
          <w:szCs w:val="31"/>
          <w:bdr w:val="none" w:color="auto" w:sz="0" w:space="0"/>
          <w:shd w:val="clear" w:fill="FFFFFF"/>
        </w:rPr>
        <w:t>食品生产经营者有义务接受市场监督管理部门依法实施的各项监督管理，不得拒绝、阻挠、干扰依法开展的食品安全监督检查、事故调查处理、抽检监测等工作。食品生产经营者的食品安全总监、食品安全员等管理人员应积极对接相关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食品生产经营者应将食品生产、经营许可证或登记备案证明，食品安全总监、食品安全员等食品安全管理人员信息，以及监管部门出具的监督检查结果记录表等食品安全信息在生产经营场所醒目位置进行公示。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食品生产经营者应听取消费者对其产品的意见，接受消费者的监督，并记录和处置消费者投诉举报。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第十九条</w:t>
      </w:r>
      <w:r>
        <w:rPr>
          <w:rFonts w:hint="default" w:ascii="Times New Roman" w:hAnsi="Times New Roman" w:cs="Times New Roman"/>
          <w:i w:val="0"/>
          <w:iCs w:val="0"/>
          <w:caps w:val="0"/>
          <w:color w:val="000000"/>
          <w:spacing w:val="0"/>
          <w:sz w:val="31"/>
          <w:szCs w:val="31"/>
          <w:bdr w:val="none" w:color="auto" w:sz="0" w:space="0"/>
          <w:shd w:val="clear" w:fill="FFFFFF"/>
        </w:rPr>
        <w:t>　</w:t>
      </w:r>
      <w:r>
        <w:rPr>
          <w:rFonts w:hint="default" w:ascii="仿宋_GB2312" w:hAnsi="Times New Roman" w:eastAsia="仿宋_GB2312" w:cs="仿宋_GB2312"/>
          <w:i w:val="0"/>
          <w:iCs w:val="0"/>
          <w:caps w:val="0"/>
          <w:color w:val="000000"/>
          <w:spacing w:val="0"/>
          <w:sz w:val="31"/>
          <w:szCs w:val="31"/>
          <w:bdr w:val="none" w:color="auto" w:sz="0" w:space="0"/>
          <w:shd w:val="clear" w:fill="FFFFFF"/>
        </w:rPr>
        <w:t>旗县级以上市场监督管理部门应当将食品生产经营者落实食品安全主体责任和食品安全总监、食品安全员等食品安全管理人员的设置、培训考核、日常履职等情况作为日常检查的重要内容。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第二十条</w:t>
      </w:r>
      <w:r>
        <w:rPr>
          <w:rFonts w:hint="default" w:ascii="Times New Roman" w:hAnsi="Times New Roman" w:cs="Times New Roman"/>
          <w:i w:val="0"/>
          <w:iCs w:val="0"/>
          <w:caps w:val="0"/>
          <w:color w:val="000000"/>
          <w:spacing w:val="0"/>
          <w:sz w:val="31"/>
          <w:szCs w:val="31"/>
          <w:bdr w:val="none" w:color="auto" w:sz="0" w:space="0"/>
          <w:shd w:val="clear" w:fill="FFFFFF"/>
        </w:rPr>
        <w:t>　</w:t>
      </w:r>
      <w:r>
        <w:rPr>
          <w:rFonts w:hint="default" w:ascii="仿宋_GB2312" w:hAnsi="Times New Roman" w:eastAsia="仿宋_GB2312" w:cs="仿宋_GB2312"/>
          <w:i w:val="0"/>
          <w:iCs w:val="0"/>
          <w:caps w:val="0"/>
          <w:color w:val="000000"/>
          <w:spacing w:val="0"/>
          <w:sz w:val="31"/>
          <w:szCs w:val="31"/>
          <w:bdr w:val="none" w:color="auto" w:sz="0" w:space="0"/>
          <w:shd w:val="clear" w:fill="FFFFFF"/>
        </w:rPr>
        <w:t>旗县级以上市场监督管理部门对不履行职责或抽查考核不合格的食品生产经营者依法进行约谈并要求整改。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第二十一条</w:t>
      </w:r>
      <w:r>
        <w:rPr>
          <w:rFonts w:hint="default" w:ascii="仿宋_GB2312" w:hAnsi="Times New Roman" w:eastAsia="仿宋_GB2312" w:cs="仿宋_GB2312"/>
          <w:i w:val="0"/>
          <w:iCs w:val="0"/>
          <w:caps w:val="0"/>
          <w:color w:val="000000"/>
          <w:spacing w:val="0"/>
          <w:sz w:val="31"/>
          <w:szCs w:val="31"/>
          <w:bdr w:val="none" w:color="auto" w:sz="0" w:space="0"/>
          <w:shd w:val="clear" w:fill="FFFFFF"/>
        </w:rPr>
        <w:t>　未按规定建立食品安全管理制度，或者未按规定配备、培训、考核食品安全总监、食品安全员等食品安全管理人员，或者未按责任制要求落实食品安全责任的，由旗县级以上市场监督管理部门依照《食品安全法》第一百二十六条第一款处理。法律行政法规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第二十二条</w:t>
      </w:r>
      <w:r>
        <w:rPr>
          <w:rFonts w:hint="default" w:ascii="Times New Roman" w:hAnsi="Times New Roman" w:cs="Times New Roman"/>
          <w:i w:val="0"/>
          <w:iCs w:val="0"/>
          <w:caps w:val="0"/>
          <w:color w:val="000000"/>
          <w:spacing w:val="0"/>
          <w:sz w:val="31"/>
          <w:szCs w:val="31"/>
          <w:bdr w:val="none" w:color="auto" w:sz="0" w:space="0"/>
          <w:shd w:val="clear" w:fill="FFFFFF"/>
        </w:rPr>
        <w:t>　</w:t>
      </w:r>
      <w:r>
        <w:rPr>
          <w:rFonts w:hint="default" w:ascii="仿宋_GB2312" w:hAnsi="Times New Roman" w:eastAsia="仿宋_GB2312" w:cs="仿宋_GB2312"/>
          <w:i w:val="0"/>
          <w:iCs w:val="0"/>
          <w:caps w:val="0"/>
          <w:color w:val="000000"/>
          <w:spacing w:val="0"/>
          <w:sz w:val="31"/>
          <w:szCs w:val="31"/>
          <w:bdr w:val="none" w:color="auto" w:sz="0" w:space="0"/>
          <w:shd w:val="clear" w:fill="FFFFFF"/>
        </w:rPr>
        <w:t>食品生产经营者有《中华人民共和国食品安全法》、《内蒙古自治区食品小作坊小餐饮店小食杂店和食品摊贩管理条例》规定的违法情形，除依法依规给予处罚外，有故意实施违法行为、违法行为性质恶劣、违法行为造成严重后果情形之一的，对单位的法定代表人、主要负责人、直接负责的主管人员和相关直接责任人员予以处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食品生产经营者主要负责人无正当理由未采纳食品安全总监、食品安全员依照本办法提出的否决建议的，属于前款规定的故意实施违法行为的情形。食品安全总监、食品安全员已经依法履职尽责的，不予处罚。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第二十三条</w:t>
      </w:r>
      <w:r>
        <w:rPr>
          <w:rFonts w:hint="default" w:ascii="仿宋_GB2312" w:hAnsi="Times New Roman" w:eastAsia="仿宋_GB2312" w:cs="仿宋_GB2312"/>
          <w:i w:val="0"/>
          <w:iCs w:val="0"/>
          <w:caps w:val="0"/>
          <w:color w:val="000000"/>
          <w:spacing w:val="0"/>
          <w:sz w:val="31"/>
          <w:szCs w:val="31"/>
          <w:bdr w:val="none" w:color="auto" w:sz="0" w:space="0"/>
          <w:shd w:val="clear" w:fill="FFFFFF"/>
        </w:rPr>
        <w:t>　网络食品交易第三方平台、大型食品仓储企业、食品集中交易市场开办者、食品展销会举办者、食品销售柜台出租者、食品摊贩集中经营场地的管理者等食品生产经营有关主体可以参照本办法执行。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食品添加剂生产经营者依照本办法执行。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Style w:val="5"/>
          <w:rFonts w:hint="default" w:ascii="仿宋_GB2312" w:hAnsi="微软雅黑" w:eastAsia="仿宋_GB2312" w:cs="仿宋_GB2312"/>
          <w:i w:val="0"/>
          <w:iCs w:val="0"/>
          <w:caps w:val="0"/>
          <w:color w:val="000000"/>
          <w:spacing w:val="0"/>
          <w:sz w:val="31"/>
          <w:szCs w:val="31"/>
          <w:bdr w:val="none" w:color="auto" w:sz="0" w:space="0"/>
          <w:shd w:val="clear" w:fill="FFFFFF"/>
        </w:rPr>
        <w:t>第二十四条</w:t>
      </w:r>
      <w:r>
        <w:rPr>
          <w:rFonts w:hint="default" w:ascii="仿宋_GB2312" w:hAnsi="Times New Roman" w:eastAsia="仿宋_GB2312" w:cs="仿宋_GB2312"/>
          <w:i w:val="0"/>
          <w:iCs w:val="0"/>
          <w:caps w:val="0"/>
          <w:color w:val="000000"/>
          <w:spacing w:val="0"/>
          <w:sz w:val="31"/>
          <w:szCs w:val="31"/>
          <w:bdr w:val="none" w:color="auto" w:sz="0" w:space="0"/>
          <w:shd w:val="clear" w:fill="FFFFFF"/>
        </w:rPr>
        <w:t>　本办法自公布之日起施行，有效期五年。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30"/>
        <w:jc w:val="both"/>
        <w:rPr>
          <w:rFonts w:hint="default" w:ascii="Times New Roman" w:hAnsi="Times New Roman" w:cs="Times New Roman"/>
          <w:i w:val="0"/>
          <w:iCs w:val="0"/>
          <w:caps w:val="0"/>
          <w:color w:val="000000"/>
          <w:spacing w:val="0"/>
          <w:sz w:val="31"/>
          <w:szCs w:val="31"/>
        </w:rPr>
      </w:pPr>
      <w:r>
        <w:rPr>
          <w:rFonts w:hint="default" w:ascii="仿宋_GB2312" w:hAnsi="Times New Roman" w:eastAsia="仿宋_GB2312" w:cs="仿宋_GB2312"/>
          <w:i w:val="0"/>
          <w:iCs w:val="0"/>
          <w:caps w:val="0"/>
          <w:color w:val="000000"/>
          <w:spacing w:val="0"/>
          <w:sz w:val="31"/>
          <w:szCs w:val="31"/>
          <w:bdr w:val="none" w:color="auto" w:sz="0" w:space="0"/>
          <w:shd w:val="clear" w:fill="FFFFFF"/>
        </w:rPr>
        <w:t>附件：大中小微型企业、食品集中交易市场开办者、食品展销会举办者划分标准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30"/>
        <w:jc w:val="both"/>
        <w:rPr>
          <w:rFonts w:hint="default" w:ascii="Times New Roman" w:hAnsi="Times New Roman" w:cs="Times New Roman"/>
          <w:i w:val="0"/>
          <w:iCs w:val="0"/>
          <w:caps w:val="0"/>
          <w:color w:val="000000"/>
          <w:spacing w:val="0"/>
          <w:sz w:val="31"/>
          <w:szCs w:val="31"/>
        </w:rPr>
      </w:pPr>
      <w:r>
        <w:rPr>
          <w:rFonts w:hint="eastAsia" w:ascii="仿宋" w:hAnsi="仿宋" w:eastAsia="仿宋" w:cs="仿宋"/>
          <w:i w:val="0"/>
          <w:iCs w:val="0"/>
          <w:caps w:val="0"/>
          <w:color w:val="000000"/>
          <w:spacing w:val="0"/>
          <w:sz w:val="31"/>
          <w:szCs w:val="3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30"/>
        <w:jc w:val="both"/>
        <w:rPr>
          <w:rFonts w:hint="default" w:ascii="Times New Roman" w:hAnsi="Times New Roman" w:cs="Times New Roman"/>
          <w:i w:val="0"/>
          <w:iCs w:val="0"/>
          <w:caps w:val="0"/>
          <w:color w:val="000000"/>
          <w:spacing w:val="0"/>
          <w:sz w:val="31"/>
          <w:szCs w:val="31"/>
        </w:rPr>
      </w:pPr>
      <w:r>
        <w:rPr>
          <w:rFonts w:hint="eastAsia" w:ascii="仿宋" w:hAnsi="仿宋" w:eastAsia="仿宋" w:cs="仿宋"/>
          <w:i w:val="0"/>
          <w:iCs w:val="0"/>
          <w:caps w:val="0"/>
          <w:color w:val="000000"/>
          <w:spacing w:val="0"/>
          <w:sz w:val="31"/>
          <w:szCs w:val="3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30"/>
        <w:jc w:val="both"/>
        <w:rPr>
          <w:rFonts w:hint="default" w:ascii="Times New Roman" w:hAnsi="Times New Roman" w:cs="Times New Roman"/>
          <w:i w:val="0"/>
          <w:iCs w:val="0"/>
          <w:caps w:val="0"/>
          <w:color w:val="000000"/>
          <w:spacing w:val="0"/>
          <w:sz w:val="31"/>
          <w:szCs w:val="31"/>
        </w:rPr>
      </w:pPr>
      <w:r>
        <w:rPr>
          <w:rFonts w:hint="eastAsia" w:ascii="仿宋" w:hAnsi="仿宋" w:eastAsia="仿宋" w:cs="仿宋"/>
          <w:i w:val="0"/>
          <w:iCs w:val="0"/>
          <w:caps w:val="0"/>
          <w:color w:val="000000"/>
          <w:spacing w:val="0"/>
          <w:sz w:val="31"/>
          <w:szCs w:val="3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30"/>
        <w:jc w:val="both"/>
        <w:rPr>
          <w:rFonts w:hint="default" w:ascii="Times New Roman" w:hAnsi="Times New Roman" w:cs="Times New Roman"/>
          <w:i w:val="0"/>
          <w:iCs w:val="0"/>
          <w:caps w:val="0"/>
          <w:color w:val="000000"/>
          <w:spacing w:val="0"/>
          <w:sz w:val="31"/>
          <w:szCs w:val="31"/>
        </w:rPr>
      </w:pPr>
      <w:r>
        <w:rPr>
          <w:rFonts w:hint="eastAsia" w:ascii="仿宋" w:hAnsi="仿宋" w:eastAsia="仿宋" w:cs="仿宋"/>
          <w:i w:val="0"/>
          <w:iCs w:val="0"/>
          <w:caps w:val="0"/>
          <w:color w:val="000000"/>
          <w:spacing w:val="0"/>
          <w:sz w:val="31"/>
          <w:szCs w:val="3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30"/>
        <w:jc w:val="both"/>
        <w:rPr>
          <w:rFonts w:hint="default" w:ascii="Times New Roman" w:hAnsi="Times New Roman" w:cs="Times New Roman"/>
          <w:i w:val="0"/>
          <w:iCs w:val="0"/>
          <w:caps w:val="0"/>
          <w:color w:val="000000"/>
          <w:spacing w:val="0"/>
          <w:sz w:val="31"/>
          <w:szCs w:val="31"/>
        </w:rPr>
      </w:pPr>
      <w:r>
        <w:rPr>
          <w:rFonts w:hint="eastAsia" w:ascii="仿宋" w:hAnsi="仿宋" w:eastAsia="仿宋" w:cs="仿宋"/>
          <w:i w:val="0"/>
          <w:iCs w:val="0"/>
          <w:caps w:val="0"/>
          <w:color w:val="000000"/>
          <w:spacing w:val="0"/>
          <w:sz w:val="31"/>
          <w:szCs w:val="3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30"/>
        <w:jc w:val="both"/>
        <w:rPr>
          <w:rFonts w:hint="default" w:ascii="Times New Roman" w:hAnsi="Times New Roman" w:cs="Times New Roman"/>
          <w:i w:val="0"/>
          <w:iCs w:val="0"/>
          <w:caps w:val="0"/>
          <w:color w:val="000000"/>
          <w:spacing w:val="0"/>
          <w:sz w:val="31"/>
          <w:szCs w:val="31"/>
        </w:rPr>
      </w:pPr>
      <w:r>
        <w:rPr>
          <w:rFonts w:hint="eastAsia" w:ascii="仿宋" w:hAnsi="仿宋" w:eastAsia="仿宋" w:cs="仿宋"/>
          <w:i w:val="0"/>
          <w:iCs w:val="0"/>
          <w:caps w:val="0"/>
          <w:color w:val="000000"/>
          <w:spacing w:val="0"/>
          <w:sz w:val="31"/>
          <w:szCs w:val="3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30"/>
        <w:jc w:val="both"/>
        <w:rPr>
          <w:rFonts w:hint="default" w:ascii="Times New Roman" w:hAnsi="Times New Roman" w:cs="Times New Roman"/>
          <w:i w:val="0"/>
          <w:iCs w:val="0"/>
          <w:caps w:val="0"/>
          <w:color w:val="000000"/>
          <w:spacing w:val="0"/>
          <w:sz w:val="31"/>
          <w:szCs w:val="31"/>
        </w:rPr>
      </w:pPr>
      <w:r>
        <w:rPr>
          <w:rFonts w:hint="eastAsia" w:ascii="仿宋" w:hAnsi="仿宋" w:eastAsia="仿宋" w:cs="仿宋"/>
          <w:i w:val="0"/>
          <w:iCs w:val="0"/>
          <w:caps w:val="0"/>
          <w:color w:val="000000"/>
          <w:spacing w:val="0"/>
          <w:sz w:val="31"/>
          <w:szCs w:val="3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630"/>
        <w:jc w:val="both"/>
        <w:rPr>
          <w:rFonts w:hint="default" w:ascii="Times New Roman" w:hAnsi="Times New Roman" w:cs="Times New Roman"/>
          <w:i w:val="0"/>
          <w:iCs w:val="0"/>
          <w:caps w:val="0"/>
          <w:color w:val="000000"/>
          <w:spacing w:val="0"/>
          <w:sz w:val="31"/>
          <w:szCs w:val="31"/>
        </w:rPr>
      </w:pPr>
      <w:r>
        <w:rPr>
          <w:rFonts w:hint="eastAsia" w:ascii="仿宋" w:hAnsi="仿宋" w:eastAsia="仿宋" w:cs="仿宋"/>
          <w:i w:val="0"/>
          <w:iCs w:val="0"/>
          <w:caps w:val="0"/>
          <w:color w:val="000000"/>
          <w:spacing w:val="0"/>
          <w:sz w:val="31"/>
          <w:szCs w:val="3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0"/>
        <w:jc w:val="both"/>
        <w:rPr>
          <w:rFonts w:hint="default" w:ascii="Times New Roman" w:hAnsi="Times New Roman" w:cs="Times New Roman"/>
          <w:i w:val="0"/>
          <w:iCs w:val="0"/>
          <w:caps w:val="0"/>
          <w:color w:val="000000"/>
          <w:spacing w:val="0"/>
          <w:sz w:val="31"/>
          <w:szCs w:val="31"/>
        </w:rPr>
      </w:pPr>
      <w:r>
        <w:rPr>
          <w:rFonts w:ascii="黑体" w:hAnsi="宋体" w:eastAsia="黑体" w:cs="黑体"/>
          <w:i w:val="0"/>
          <w:iCs w:val="0"/>
          <w:caps w:val="0"/>
          <w:color w:val="000000"/>
          <w:spacing w:val="0"/>
          <w:sz w:val="31"/>
          <w:szCs w:val="31"/>
          <w:bdr w:val="none" w:color="auto" w:sz="0" w:space="0"/>
          <w:shd w:val="clear" w:fill="FFFFFF"/>
        </w:rPr>
        <w:t>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0"/>
        <w:jc w:val="both"/>
        <w:rPr>
          <w:rFonts w:hint="default" w:ascii="Times New Roman" w:hAnsi="Times New Roman" w:cs="Times New Roman"/>
          <w:i w:val="0"/>
          <w:iCs w:val="0"/>
          <w:caps w:val="0"/>
          <w:color w:val="000000"/>
          <w:spacing w:val="0"/>
          <w:sz w:val="31"/>
          <w:szCs w:val="31"/>
        </w:rPr>
      </w:pPr>
      <w:r>
        <w:rPr>
          <w:rFonts w:hint="eastAsia" w:ascii="黑体" w:hAnsi="宋体" w:eastAsia="黑体" w:cs="黑体"/>
          <w:i w:val="0"/>
          <w:iCs w:val="0"/>
          <w:caps w:val="0"/>
          <w:color w:val="000000"/>
          <w:spacing w:val="0"/>
          <w:sz w:val="28"/>
          <w:szCs w:val="28"/>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center"/>
        <w:rPr>
          <w:rFonts w:hint="default" w:ascii="Times New Roman" w:hAnsi="Times New Roman" w:cs="Times New Roman"/>
          <w:i w:val="0"/>
          <w:iCs w:val="0"/>
          <w:caps w:val="0"/>
          <w:color w:val="000000"/>
          <w:spacing w:val="0"/>
          <w:sz w:val="31"/>
          <w:szCs w:val="31"/>
        </w:rPr>
      </w:pPr>
      <w:r>
        <w:rPr>
          <w:rFonts w:hint="default" w:ascii="方正小标宋简体" w:hAnsi="方正小标宋简体" w:eastAsia="方正小标宋简体" w:cs="方正小标宋简体"/>
          <w:i w:val="0"/>
          <w:iCs w:val="0"/>
          <w:caps w:val="0"/>
          <w:color w:val="000000"/>
          <w:spacing w:val="0"/>
          <w:sz w:val="43"/>
          <w:szCs w:val="43"/>
          <w:bdr w:val="none" w:color="auto" w:sz="0" w:space="0"/>
          <w:shd w:val="clear" w:fill="FFFFFF"/>
        </w:rPr>
        <w:t>大中小微型企业、食品集中交易</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center"/>
        <w:rPr>
          <w:rFonts w:hint="default" w:ascii="Times New Roman" w:hAnsi="Times New Roman" w:cs="Times New Roman"/>
          <w:i w:val="0"/>
          <w:iCs w:val="0"/>
          <w:caps w:val="0"/>
          <w:color w:val="000000"/>
          <w:spacing w:val="0"/>
          <w:sz w:val="31"/>
          <w:szCs w:val="31"/>
        </w:rPr>
      </w:pPr>
      <w:r>
        <w:rPr>
          <w:rFonts w:hint="default" w:ascii="方正小标宋简体" w:hAnsi="方正小标宋简体" w:eastAsia="方正小标宋简体" w:cs="方正小标宋简体"/>
          <w:i w:val="0"/>
          <w:iCs w:val="0"/>
          <w:caps w:val="0"/>
          <w:color w:val="000000"/>
          <w:spacing w:val="0"/>
          <w:sz w:val="43"/>
          <w:szCs w:val="43"/>
          <w:bdr w:val="none" w:color="auto" w:sz="0" w:space="0"/>
          <w:shd w:val="clear" w:fill="FFFFFF"/>
        </w:rPr>
        <w:t>市场开办者、食品展销会举办者划分标准</w:t>
      </w:r>
    </w:p>
    <w:tbl>
      <w:tblPr>
        <w:tblW w:w="0" w:type="auto"/>
        <w:jc w:val="center"/>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17"/>
        <w:gridCol w:w="1966"/>
        <w:gridCol w:w="643"/>
        <w:gridCol w:w="1017"/>
        <w:gridCol w:w="1545"/>
        <w:gridCol w:w="1393"/>
        <w:gridCol w:w="935"/>
      </w:tblGrid>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tblCellMar>
            <w:top w:w="0" w:type="dxa"/>
            <w:left w:w="0" w:type="dxa"/>
            <w:bottom w:w="0" w:type="dxa"/>
            <w:right w:w="0" w:type="dxa"/>
          </w:tblCellMar>
        </w:tblPrEx>
        <w:trPr>
          <w:jc w:val="center"/>
        </w:trPr>
        <w:tc>
          <w:tcPr>
            <w:tcW w:w="1185" w:type="dxa"/>
            <w:tcBorders>
              <w:top w:val="single" w:color="auto" w:sz="6" w:space="0"/>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行业名称</w:t>
            </w:r>
          </w:p>
        </w:tc>
        <w:tc>
          <w:tcPr>
            <w:tcW w:w="2325" w:type="dxa"/>
            <w:tcBorders>
              <w:top w:val="single" w:color="auto" w:sz="6" w:space="0"/>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指标名称</w:t>
            </w:r>
          </w:p>
        </w:tc>
        <w:tc>
          <w:tcPr>
            <w:tcW w:w="705" w:type="dxa"/>
            <w:tcBorders>
              <w:top w:val="single" w:color="auto" w:sz="6" w:space="0"/>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单位</w:t>
            </w:r>
          </w:p>
        </w:tc>
        <w:tc>
          <w:tcPr>
            <w:tcW w:w="1095" w:type="dxa"/>
            <w:tcBorders>
              <w:top w:val="single" w:color="auto" w:sz="6" w:space="0"/>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大型</w:t>
            </w:r>
          </w:p>
        </w:tc>
        <w:tc>
          <w:tcPr>
            <w:tcW w:w="1770" w:type="dxa"/>
            <w:tcBorders>
              <w:top w:val="single" w:color="auto" w:sz="6" w:space="0"/>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中型</w:t>
            </w:r>
          </w:p>
        </w:tc>
        <w:tc>
          <w:tcPr>
            <w:tcW w:w="1605" w:type="dxa"/>
            <w:tcBorders>
              <w:top w:val="single" w:color="auto" w:sz="6" w:space="0"/>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小型</w:t>
            </w:r>
          </w:p>
        </w:tc>
        <w:tc>
          <w:tcPr>
            <w:tcW w:w="1020" w:type="dxa"/>
            <w:tcBorders>
              <w:top w:val="single" w:color="auto" w:sz="6" w:space="0"/>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微型</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0" w:type="dxa"/>
            <w:bottom w:w="0" w:type="dxa"/>
            <w:right w:w="0" w:type="dxa"/>
          </w:tblCellMar>
        </w:tblPrEx>
        <w:trPr>
          <w:jc w:val="center"/>
        </w:trPr>
        <w:tc>
          <w:tcPr>
            <w:tcW w:w="1185" w:type="dxa"/>
            <w:vMerge w:val="restart"/>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工业</w:t>
            </w:r>
          </w:p>
        </w:tc>
        <w:tc>
          <w:tcPr>
            <w:tcW w:w="232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从业人员（</w:t>
            </w:r>
            <w:r>
              <w:rPr>
                <w:rFonts w:hint="eastAsia" w:ascii="宋体" w:hAnsi="宋体" w:eastAsia="宋体" w:cs="宋体"/>
                <w:spacing w:val="-30"/>
                <w:sz w:val="21"/>
                <w:szCs w:val="21"/>
                <w:bdr w:val="none" w:color="auto" w:sz="0" w:space="0"/>
              </w:rPr>
              <w:t>X</w:t>
            </w:r>
            <w:r>
              <w:rPr>
                <w:rFonts w:hint="eastAsia" w:ascii="宋体" w:hAnsi="宋体" w:eastAsia="宋体" w:cs="宋体"/>
                <w:sz w:val="21"/>
                <w:szCs w:val="21"/>
                <w:bdr w:val="none" w:color="auto" w:sz="0" w:space="0"/>
              </w:rPr>
              <w:t>）</w:t>
            </w:r>
          </w:p>
        </w:tc>
        <w:tc>
          <w:tcPr>
            <w:tcW w:w="7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人</w:t>
            </w:r>
          </w:p>
        </w:tc>
        <w:tc>
          <w:tcPr>
            <w:tcW w:w="109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X≥1000</w:t>
            </w:r>
          </w:p>
        </w:tc>
        <w:tc>
          <w:tcPr>
            <w:tcW w:w="177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300≤X＜1000</w:t>
            </w:r>
          </w:p>
        </w:tc>
        <w:tc>
          <w:tcPr>
            <w:tcW w:w="16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20≤X＜300</w:t>
            </w:r>
          </w:p>
        </w:tc>
        <w:tc>
          <w:tcPr>
            <w:tcW w:w="102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X＜20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0" w:type="dxa"/>
            <w:bottom w:w="0" w:type="dxa"/>
            <w:right w:w="0" w:type="dxa"/>
          </w:tblCellMar>
        </w:tblPrEx>
        <w:trPr>
          <w:jc w:val="center"/>
        </w:trPr>
        <w:tc>
          <w:tcPr>
            <w:tcW w:w="1185" w:type="dxa"/>
            <w:vMerge w:val="continue"/>
            <w:tcBorders>
              <w:top w:val="nil"/>
              <w:left w:val="single" w:color="auto" w:sz="6" w:space="0"/>
              <w:bottom w:val="single" w:color="auto" w:sz="6" w:space="0"/>
              <w:right w:val="single" w:color="auto" w:sz="6" w:space="0"/>
            </w:tcBorders>
            <w:shd w:val="clear"/>
            <w:tcMar>
              <w:left w:w="105" w:type="dxa"/>
              <w:right w:w="105" w:type="dxa"/>
            </w:tcMar>
            <w:vAlign w:val="center"/>
          </w:tcPr>
          <w:p>
            <w:pPr>
              <w:rPr>
                <w:rFonts w:hint="eastAsia" w:ascii="微软雅黑" w:hAnsi="微软雅黑" w:eastAsia="微软雅黑" w:cs="微软雅黑"/>
                <w:sz w:val="24"/>
                <w:szCs w:val="24"/>
              </w:rPr>
            </w:pPr>
          </w:p>
        </w:tc>
        <w:tc>
          <w:tcPr>
            <w:tcW w:w="232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营业收入（</w:t>
            </w:r>
            <w:r>
              <w:rPr>
                <w:rFonts w:hint="eastAsia" w:ascii="宋体" w:hAnsi="宋体" w:eastAsia="宋体" w:cs="宋体"/>
                <w:spacing w:val="-30"/>
                <w:sz w:val="21"/>
                <w:szCs w:val="21"/>
                <w:bdr w:val="none" w:color="auto" w:sz="0" w:space="0"/>
              </w:rPr>
              <w:t>Y</w:t>
            </w:r>
            <w:r>
              <w:rPr>
                <w:rFonts w:hint="eastAsia" w:ascii="宋体" w:hAnsi="宋体" w:eastAsia="宋体" w:cs="宋体"/>
                <w:sz w:val="21"/>
                <w:szCs w:val="21"/>
                <w:bdr w:val="none" w:color="auto" w:sz="0" w:space="0"/>
              </w:rPr>
              <w:t>）</w:t>
            </w:r>
          </w:p>
        </w:tc>
        <w:tc>
          <w:tcPr>
            <w:tcW w:w="7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万元</w:t>
            </w:r>
          </w:p>
        </w:tc>
        <w:tc>
          <w:tcPr>
            <w:tcW w:w="109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Y≥40000</w:t>
            </w:r>
          </w:p>
        </w:tc>
        <w:tc>
          <w:tcPr>
            <w:tcW w:w="177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2000≤Y＜40000</w:t>
            </w:r>
          </w:p>
        </w:tc>
        <w:tc>
          <w:tcPr>
            <w:tcW w:w="16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300≤Y＜2000</w:t>
            </w:r>
          </w:p>
        </w:tc>
        <w:tc>
          <w:tcPr>
            <w:tcW w:w="102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Y＜300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0" w:type="dxa"/>
            <w:bottom w:w="0" w:type="dxa"/>
            <w:right w:w="0" w:type="dxa"/>
          </w:tblCellMar>
        </w:tblPrEx>
        <w:trPr>
          <w:jc w:val="center"/>
        </w:trPr>
        <w:tc>
          <w:tcPr>
            <w:tcW w:w="1185" w:type="dxa"/>
            <w:vMerge w:val="restart"/>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批发业</w:t>
            </w:r>
          </w:p>
        </w:tc>
        <w:tc>
          <w:tcPr>
            <w:tcW w:w="232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从业人员（</w:t>
            </w:r>
            <w:r>
              <w:rPr>
                <w:rFonts w:hint="eastAsia" w:ascii="宋体" w:hAnsi="宋体" w:eastAsia="宋体" w:cs="宋体"/>
                <w:spacing w:val="-30"/>
                <w:sz w:val="21"/>
                <w:szCs w:val="21"/>
                <w:bdr w:val="none" w:color="auto" w:sz="0" w:space="0"/>
              </w:rPr>
              <w:t>X</w:t>
            </w:r>
            <w:r>
              <w:rPr>
                <w:rFonts w:hint="eastAsia" w:ascii="宋体" w:hAnsi="宋体" w:eastAsia="宋体" w:cs="宋体"/>
                <w:sz w:val="21"/>
                <w:szCs w:val="21"/>
                <w:bdr w:val="none" w:color="auto" w:sz="0" w:space="0"/>
              </w:rPr>
              <w:t>）</w:t>
            </w:r>
          </w:p>
        </w:tc>
        <w:tc>
          <w:tcPr>
            <w:tcW w:w="7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人</w:t>
            </w:r>
          </w:p>
        </w:tc>
        <w:tc>
          <w:tcPr>
            <w:tcW w:w="109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X≥200</w:t>
            </w:r>
          </w:p>
        </w:tc>
        <w:tc>
          <w:tcPr>
            <w:tcW w:w="177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20≤X＜200</w:t>
            </w:r>
          </w:p>
        </w:tc>
        <w:tc>
          <w:tcPr>
            <w:tcW w:w="16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5≤X＜20</w:t>
            </w:r>
          </w:p>
        </w:tc>
        <w:tc>
          <w:tcPr>
            <w:tcW w:w="102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X＜5</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0" w:type="dxa"/>
            <w:bottom w:w="0" w:type="dxa"/>
            <w:right w:w="0" w:type="dxa"/>
          </w:tblCellMar>
        </w:tblPrEx>
        <w:trPr>
          <w:jc w:val="center"/>
        </w:trPr>
        <w:tc>
          <w:tcPr>
            <w:tcW w:w="1185" w:type="dxa"/>
            <w:vMerge w:val="continue"/>
            <w:tcBorders>
              <w:top w:val="nil"/>
              <w:left w:val="single" w:color="auto" w:sz="6" w:space="0"/>
              <w:bottom w:val="single" w:color="auto" w:sz="6" w:space="0"/>
              <w:right w:val="single" w:color="auto" w:sz="6" w:space="0"/>
            </w:tcBorders>
            <w:shd w:val="clear"/>
            <w:tcMar>
              <w:left w:w="105" w:type="dxa"/>
              <w:right w:w="105" w:type="dxa"/>
            </w:tcMar>
            <w:vAlign w:val="center"/>
          </w:tcPr>
          <w:p>
            <w:pPr>
              <w:rPr>
                <w:rFonts w:hint="eastAsia" w:ascii="微软雅黑" w:hAnsi="微软雅黑" w:eastAsia="微软雅黑" w:cs="微软雅黑"/>
                <w:sz w:val="24"/>
                <w:szCs w:val="24"/>
              </w:rPr>
            </w:pPr>
          </w:p>
        </w:tc>
        <w:tc>
          <w:tcPr>
            <w:tcW w:w="232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营业收入（</w:t>
            </w:r>
            <w:r>
              <w:rPr>
                <w:rFonts w:hint="eastAsia" w:ascii="宋体" w:hAnsi="宋体" w:eastAsia="宋体" w:cs="宋体"/>
                <w:spacing w:val="-30"/>
                <w:sz w:val="21"/>
                <w:szCs w:val="21"/>
                <w:bdr w:val="none" w:color="auto" w:sz="0" w:space="0"/>
              </w:rPr>
              <w:t>Y</w:t>
            </w:r>
            <w:r>
              <w:rPr>
                <w:rFonts w:hint="eastAsia" w:ascii="宋体" w:hAnsi="宋体" w:eastAsia="宋体" w:cs="宋体"/>
                <w:sz w:val="21"/>
                <w:szCs w:val="21"/>
                <w:bdr w:val="none" w:color="auto" w:sz="0" w:space="0"/>
              </w:rPr>
              <w:t>）</w:t>
            </w:r>
          </w:p>
        </w:tc>
        <w:tc>
          <w:tcPr>
            <w:tcW w:w="7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万元</w:t>
            </w:r>
          </w:p>
        </w:tc>
        <w:tc>
          <w:tcPr>
            <w:tcW w:w="109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Y≥40000</w:t>
            </w:r>
          </w:p>
        </w:tc>
        <w:tc>
          <w:tcPr>
            <w:tcW w:w="177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5000≤Y＜40000</w:t>
            </w:r>
          </w:p>
        </w:tc>
        <w:tc>
          <w:tcPr>
            <w:tcW w:w="16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1000≤Y＜5000</w:t>
            </w:r>
          </w:p>
        </w:tc>
        <w:tc>
          <w:tcPr>
            <w:tcW w:w="102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Y＜1000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0" w:type="dxa"/>
            <w:bottom w:w="0" w:type="dxa"/>
            <w:right w:w="0" w:type="dxa"/>
          </w:tblCellMar>
        </w:tblPrEx>
        <w:trPr>
          <w:jc w:val="center"/>
        </w:trPr>
        <w:tc>
          <w:tcPr>
            <w:tcW w:w="1185" w:type="dxa"/>
            <w:vMerge w:val="restart"/>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零售业</w:t>
            </w:r>
          </w:p>
        </w:tc>
        <w:tc>
          <w:tcPr>
            <w:tcW w:w="232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从业人员（</w:t>
            </w:r>
            <w:r>
              <w:rPr>
                <w:rFonts w:hint="eastAsia" w:ascii="宋体" w:hAnsi="宋体" w:eastAsia="宋体" w:cs="宋体"/>
                <w:spacing w:val="-30"/>
                <w:sz w:val="21"/>
                <w:szCs w:val="21"/>
                <w:bdr w:val="none" w:color="auto" w:sz="0" w:space="0"/>
              </w:rPr>
              <w:t>X</w:t>
            </w:r>
            <w:r>
              <w:rPr>
                <w:rFonts w:hint="eastAsia" w:ascii="宋体" w:hAnsi="宋体" w:eastAsia="宋体" w:cs="宋体"/>
                <w:sz w:val="21"/>
                <w:szCs w:val="21"/>
                <w:bdr w:val="none" w:color="auto" w:sz="0" w:space="0"/>
              </w:rPr>
              <w:t>）</w:t>
            </w:r>
          </w:p>
        </w:tc>
        <w:tc>
          <w:tcPr>
            <w:tcW w:w="7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人</w:t>
            </w:r>
          </w:p>
        </w:tc>
        <w:tc>
          <w:tcPr>
            <w:tcW w:w="109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X≥300</w:t>
            </w:r>
          </w:p>
        </w:tc>
        <w:tc>
          <w:tcPr>
            <w:tcW w:w="177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50≤X＜300</w:t>
            </w:r>
          </w:p>
        </w:tc>
        <w:tc>
          <w:tcPr>
            <w:tcW w:w="16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10≤X＜50</w:t>
            </w:r>
          </w:p>
        </w:tc>
        <w:tc>
          <w:tcPr>
            <w:tcW w:w="102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X＜10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0" w:type="dxa"/>
            <w:bottom w:w="0" w:type="dxa"/>
            <w:right w:w="0" w:type="dxa"/>
          </w:tblCellMar>
        </w:tblPrEx>
        <w:trPr>
          <w:jc w:val="center"/>
        </w:trPr>
        <w:tc>
          <w:tcPr>
            <w:tcW w:w="1185" w:type="dxa"/>
            <w:vMerge w:val="continue"/>
            <w:tcBorders>
              <w:top w:val="nil"/>
              <w:left w:val="single" w:color="auto" w:sz="6" w:space="0"/>
              <w:bottom w:val="single" w:color="auto" w:sz="6" w:space="0"/>
              <w:right w:val="single" w:color="auto" w:sz="6" w:space="0"/>
            </w:tcBorders>
            <w:shd w:val="clear"/>
            <w:tcMar>
              <w:left w:w="105" w:type="dxa"/>
              <w:right w:w="105" w:type="dxa"/>
            </w:tcMar>
            <w:vAlign w:val="center"/>
          </w:tcPr>
          <w:p>
            <w:pPr>
              <w:rPr>
                <w:rFonts w:hint="eastAsia" w:ascii="微软雅黑" w:hAnsi="微软雅黑" w:eastAsia="微软雅黑" w:cs="微软雅黑"/>
                <w:sz w:val="24"/>
                <w:szCs w:val="24"/>
              </w:rPr>
            </w:pPr>
          </w:p>
        </w:tc>
        <w:tc>
          <w:tcPr>
            <w:tcW w:w="232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营业收入（</w:t>
            </w:r>
            <w:r>
              <w:rPr>
                <w:rFonts w:hint="eastAsia" w:ascii="宋体" w:hAnsi="宋体" w:eastAsia="宋体" w:cs="宋体"/>
                <w:spacing w:val="-30"/>
                <w:sz w:val="21"/>
                <w:szCs w:val="21"/>
                <w:bdr w:val="none" w:color="auto" w:sz="0" w:space="0"/>
              </w:rPr>
              <w:t>Y</w:t>
            </w:r>
            <w:r>
              <w:rPr>
                <w:rFonts w:hint="eastAsia" w:ascii="宋体" w:hAnsi="宋体" w:eastAsia="宋体" w:cs="宋体"/>
                <w:sz w:val="21"/>
                <w:szCs w:val="21"/>
                <w:bdr w:val="none" w:color="auto" w:sz="0" w:space="0"/>
              </w:rPr>
              <w:t>）</w:t>
            </w:r>
          </w:p>
        </w:tc>
        <w:tc>
          <w:tcPr>
            <w:tcW w:w="7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万元</w:t>
            </w:r>
          </w:p>
        </w:tc>
        <w:tc>
          <w:tcPr>
            <w:tcW w:w="109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Y≥20000</w:t>
            </w:r>
          </w:p>
        </w:tc>
        <w:tc>
          <w:tcPr>
            <w:tcW w:w="177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500≤Y＜20000</w:t>
            </w:r>
          </w:p>
        </w:tc>
        <w:tc>
          <w:tcPr>
            <w:tcW w:w="16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100≤Y＜500</w:t>
            </w:r>
          </w:p>
        </w:tc>
        <w:tc>
          <w:tcPr>
            <w:tcW w:w="102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Y＜100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0" w:type="dxa"/>
            <w:bottom w:w="0" w:type="dxa"/>
            <w:right w:w="0" w:type="dxa"/>
          </w:tblCellMar>
        </w:tblPrEx>
        <w:trPr>
          <w:jc w:val="center"/>
        </w:trPr>
        <w:tc>
          <w:tcPr>
            <w:tcW w:w="1185" w:type="dxa"/>
            <w:vMerge w:val="restart"/>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仓储业</w:t>
            </w:r>
          </w:p>
        </w:tc>
        <w:tc>
          <w:tcPr>
            <w:tcW w:w="232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从业人员（</w:t>
            </w:r>
            <w:r>
              <w:rPr>
                <w:rFonts w:hint="eastAsia" w:ascii="宋体" w:hAnsi="宋体" w:eastAsia="宋体" w:cs="宋体"/>
                <w:spacing w:val="-30"/>
                <w:sz w:val="21"/>
                <w:szCs w:val="21"/>
                <w:bdr w:val="none" w:color="auto" w:sz="0" w:space="0"/>
              </w:rPr>
              <w:t>X</w:t>
            </w:r>
            <w:r>
              <w:rPr>
                <w:rFonts w:hint="eastAsia" w:ascii="宋体" w:hAnsi="宋体" w:eastAsia="宋体" w:cs="宋体"/>
                <w:sz w:val="21"/>
                <w:szCs w:val="21"/>
                <w:bdr w:val="none" w:color="auto" w:sz="0" w:space="0"/>
              </w:rPr>
              <w:t>）</w:t>
            </w:r>
          </w:p>
        </w:tc>
        <w:tc>
          <w:tcPr>
            <w:tcW w:w="7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人</w:t>
            </w:r>
          </w:p>
        </w:tc>
        <w:tc>
          <w:tcPr>
            <w:tcW w:w="109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X≥200</w:t>
            </w:r>
          </w:p>
        </w:tc>
        <w:tc>
          <w:tcPr>
            <w:tcW w:w="177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100≤X＜200</w:t>
            </w:r>
          </w:p>
        </w:tc>
        <w:tc>
          <w:tcPr>
            <w:tcW w:w="16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20≤X＜100</w:t>
            </w:r>
          </w:p>
        </w:tc>
        <w:tc>
          <w:tcPr>
            <w:tcW w:w="102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X＜20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0" w:type="dxa"/>
            <w:bottom w:w="0" w:type="dxa"/>
            <w:right w:w="0" w:type="dxa"/>
          </w:tblCellMar>
        </w:tblPrEx>
        <w:trPr>
          <w:jc w:val="center"/>
        </w:trPr>
        <w:tc>
          <w:tcPr>
            <w:tcW w:w="1185" w:type="dxa"/>
            <w:vMerge w:val="continue"/>
            <w:tcBorders>
              <w:top w:val="nil"/>
              <w:left w:val="single" w:color="auto" w:sz="6" w:space="0"/>
              <w:bottom w:val="single" w:color="auto" w:sz="6" w:space="0"/>
              <w:right w:val="single" w:color="auto" w:sz="6" w:space="0"/>
            </w:tcBorders>
            <w:shd w:val="clear"/>
            <w:tcMar>
              <w:left w:w="105" w:type="dxa"/>
              <w:right w:w="105" w:type="dxa"/>
            </w:tcMar>
            <w:vAlign w:val="center"/>
          </w:tcPr>
          <w:p>
            <w:pPr>
              <w:rPr>
                <w:rFonts w:hint="eastAsia" w:ascii="微软雅黑" w:hAnsi="微软雅黑" w:eastAsia="微软雅黑" w:cs="微软雅黑"/>
                <w:sz w:val="24"/>
                <w:szCs w:val="24"/>
              </w:rPr>
            </w:pPr>
          </w:p>
        </w:tc>
        <w:tc>
          <w:tcPr>
            <w:tcW w:w="232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营业收入（</w:t>
            </w:r>
            <w:r>
              <w:rPr>
                <w:rFonts w:hint="eastAsia" w:ascii="宋体" w:hAnsi="宋体" w:eastAsia="宋体" w:cs="宋体"/>
                <w:spacing w:val="-30"/>
                <w:sz w:val="21"/>
                <w:szCs w:val="21"/>
                <w:bdr w:val="none" w:color="auto" w:sz="0" w:space="0"/>
              </w:rPr>
              <w:t>Y</w:t>
            </w:r>
            <w:r>
              <w:rPr>
                <w:rFonts w:hint="eastAsia" w:ascii="宋体" w:hAnsi="宋体" w:eastAsia="宋体" w:cs="宋体"/>
                <w:sz w:val="21"/>
                <w:szCs w:val="21"/>
                <w:bdr w:val="none" w:color="auto" w:sz="0" w:space="0"/>
              </w:rPr>
              <w:t>）</w:t>
            </w:r>
          </w:p>
        </w:tc>
        <w:tc>
          <w:tcPr>
            <w:tcW w:w="7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万元</w:t>
            </w:r>
          </w:p>
        </w:tc>
        <w:tc>
          <w:tcPr>
            <w:tcW w:w="109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Y≥30000</w:t>
            </w:r>
          </w:p>
        </w:tc>
        <w:tc>
          <w:tcPr>
            <w:tcW w:w="177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1000≤Y＜30000</w:t>
            </w:r>
          </w:p>
        </w:tc>
        <w:tc>
          <w:tcPr>
            <w:tcW w:w="16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100≤Y＜1000</w:t>
            </w:r>
          </w:p>
        </w:tc>
        <w:tc>
          <w:tcPr>
            <w:tcW w:w="102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Y＜100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0" w:type="dxa"/>
            <w:bottom w:w="0" w:type="dxa"/>
            <w:right w:w="0" w:type="dxa"/>
          </w:tblCellMar>
        </w:tblPrEx>
        <w:trPr>
          <w:jc w:val="center"/>
        </w:trPr>
        <w:tc>
          <w:tcPr>
            <w:tcW w:w="1185" w:type="dxa"/>
            <w:vMerge w:val="restart"/>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住宿业</w:t>
            </w:r>
          </w:p>
        </w:tc>
        <w:tc>
          <w:tcPr>
            <w:tcW w:w="232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从业人员（</w:t>
            </w:r>
            <w:r>
              <w:rPr>
                <w:rFonts w:hint="eastAsia" w:ascii="宋体" w:hAnsi="宋体" w:eastAsia="宋体" w:cs="宋体"/>
                <w:spacing w:val="-30"/>
                <w:sz w:val="21"/>
                <w:szCs w:val="21"/>
                <w:bdr w:val="none" w:color="auto" w:sz="0" w:space="0"/>
              </w:rPr>
              <w:t>X</w:t>
            </w:r>
            <w:r>
              <w:rPr>
                <w:rFonts w:hint="eastAsia" w:ascii="宋体" w:hAnsi="宋体" w:eastAsia="宋体" w:cs="宋体"/>
                <w:sz w:val="21"/>
                <w:szCs w:val="21"/>
                <w:bdr w:val="none" w:color="auto" w:sz="0" w:space="0"/>
              </w:rPr>
              <w:t>）</w:t>
            </w:r>
          </w:p>
        </w:tc>
        <w:tc>
          <w:tcPr>
            <w:tcW w:w="7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人</w:t>
            </w:r>
          </w:p>
        </w:tc>
        <w:tc>
          <w:tcPr>
            <w:tcW w:w="109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X≥300</w:t>
            </w:r>
          </w:p>
        </w:tc>
        <w:tc>
          <w:tcPr>
            <w:tcW w:w="177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100≤X＜300</w:t>
            </w:r>
          </w:p>
        </w:tc>
        <w:tc>
          <w:tcPr>
            <w:tcW w:w="16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10≤X＜100</w:t>
            </w:r>
          </w:p>
        </w:tc>
        <w:tc>
          <w:tcPr>
            <w:tcW w:w="102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X＜10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0" w:type="dxa"/>
            <w:bottom w:w="0" w:type="dxa"/>
            <w:right w:w="0" w:type="dxa"/>
          </w:tblCellMar>
        </w:tblPrEx>
        <w:trPr>
          <w:jc w:val="center"/>
        </w:trPr>
        <w:tc>
          <w:tcPr>
            <w:tcW w:w="1185" w:type="dxa"/>
            <w:vMerge w:val="continue"/>
            <w:tcBorders>
              <w:top w:val="nil"/>
              <w:left w:val="single" w:color="auto" w:sz="6" w:space="0"/>
              <w:bottom w:val="single" w:color="auto" w:sz="6" w:space="0"/>
              <w:right w:val="single" w:color="auto" w:sz="6" w:space="0"/>
            </w:tcBorders>
            <w:shd w:val="clear"/>
            <w:tcMar>
              <w:left w:w="105" w:type="dxa"/>
              <w:right w:w="105" w:type="dxa"/>
            </w:tcMar>
            <w:vAlign w:val="center"/>
          </w:tcPr>
          <w:p>
            <w:pPr>
              <w:rPr>
                <w:rFonts w:hint="eastAsia" w:ascii="微软雅黑" w:hAnsi="微软雅黑" w:eastAsia="微软雅黑" w:cs="微软雅黑"/>
                <w:sz w:val="24"/>
                <w:szCs w:val="24"/>
              </w:rPr>
            </w:pPr>
          </w:p>
        </w:tc>
        <w:tc>
          <w:tcPr>
            <w:tcW w:w="232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营业收入（</w:t>
            </w:r>
            <w:r>
              <w:rPr>
                <w:rFonts w:hint="eastAsia" w:ascii="宋体" w:hAnsi="宋体" w:eastAsia="宋体" w:cs="宋体"/>
                <w:spacing w:val="-30"/>
                <w:sz w:val="21"/>
                <w:szCs w:val="21"/>
                <w:bdr w:val="none" w:color="auto" w:sz="0" w:space="0"/>
              </w:rPr>
              <w:t>Y</w:t>
            </w:r>
            <w:r>
              <w:rPr>
                <w:rFonts w:hint="eastAsia" w:ascii="宋体" w:hAnsi="宋体" w:eastAsia="宋体" w:cs="宋体"/>
                <w:sz w:val="21"/>
                <w:szCs w:val="21"/>
                <w:bdr w:val="none" w:color="auto" w:sz="0" w:space="0"/>
              </w:rPr>
              <w:t>）</w:t>
            </w:r>
          </w:p>
        </w:tc>
        <w:tc>
          <w:tcPr>
            <w:tcW w:w="7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万元</w:t>
            </w:r>
          </w:p>
        </w:tc>
        <w:tc>
          <w:tcPr>
            <w:tcW w:w="109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Y≥10000</w:t>
            </w:r>
          </w:p>
        </w:tc>
        <w:tc>
          <w:tcPr>
            <w:tcW w:w="177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2000≤Y＜10000</w:t>
            </w:r>
          </w:p>
        </w:tc>
        <w:tc>
          <w:tcPr>
            <w:tcW w:w="16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100≤Y＜2000</w:t>
            </w:r>
          </w:p>
        </w:tc>
        <w:tc>
          <w:tcPr>
            <w:tcW w:w="102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Y＜100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0" w:type="dxa"/>
            <w:bottom w:w="0" w:type="dxa"/>
            <w:right w:w="0" w:type="dxa"/>
          </w:tblCellMar>
        </w:tblPrEx>
        <w:trPr>
          <w:jc w:val="center"/>
        </w:trPr>
        <w:tc>
          <w:tcPr>
            <w:tcW w:w="1185" w:type="dxa"/>
            <w:vMerge w:val="restart"/>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餐饮业</w:t>
            </w:r>
          </w:p>
        </w:tc>
        <w:tc>
          <w:tcPr>
            <w:tcW w:w="232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从业人员（</w:t>
            </w:r>
            <w:r>
              <w:rPr>
                <w:rFonts w:hint="eastAsia" w:ascii="宋体" w:hAnsi="宋体" w:eastAsia="宋体" w:cs="宋体"/>
                <w:spacing w:val="-30"/>
                <w:sz w:val="21"/>
                <w:szCs w:val="21"/>
                <w:bdr w:val="none" w:color="auto" w:sz="0" w:space="0"/>
              </w:rPr>
              <w:t>X</w:t>
            </w:r>
            <w:r>
              <w:rPr>
                <w:rFonts w:hint="eastAsia" w:ascii="宋体" w:hAnsi="宋体" w:eastAsia="宋体" w:cs="宋体"/>
                <w:sz w:val="21"/>
                <w:szCs w:val="21"/>
                <w:bdr w:val="none" w:color="auto" w:sz="0" w:space="0"/>
              </w:rPr>
              <w:t>）</w:t>
            </w:r>
          </w:p>
        </w:tc>
        <w:tc>
          <w:tcPr>
            <w:tcW w:w="7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人</w:t>
            </w:r>
          </w:p>
        </w:tc>
        <w:tc>
          <w:tcPr>
            <w:tcW w:w="109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X≥300</w:t>
            </w:r>
          </w:p>
        </w:tc>
        <w:tc>
          <w:tcPr>
            <w:tcW w:w="177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100≤X＜300</w:t>
            </w:r>
          </w:p>
        </w:tc>
        <w:tc>
          <w:tcPr>
            <w:tcW w:w="16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10≤X＜100</w:t>
            </w:r>
          </w:p>
        </w:tc>
        <w:tc>
          <w:tcPr>
            <w:tcW w:w="102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X＜10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0" w:type="dxa"/>
            <w:bottom w:w="0" w:type="dxa"/>
            <w:right w:w="0" w:type="dxa"/>
          </w:tblCellMar>
        </w:tblPrEx>
        <w:trPr>
          <w:trHeight w:val="495" w:hRule="atLeast"/>
          <w:jc w:val="center"/>
        </w:trPr>
        <w:tc>
          <w:tcPr>
            <w:tcW w:w="1185" w:type="dxa"/>
            <w:vMerge w:val="continue"/>
            <w:tcBorders>
              <w:top w:val="nil"/>
              <w:left w:val="single" w:color="auto" w:sz="6" w:space="0"/>
              <w:bottom w:val="single" w:color="auto" w:sz="6" w:space="0"/>
              <w:right w:val="single" w:color="auto" w:sz="6" w:space="0"/>
            </w:tcBorders>
            <w:shd w:val="clear"/>
            <w:tcMar>
              <w:left w:w="105" w:type="dxa"/>
              <w:right w:w="105" w:type="dxa"/>
            </w:tcMar>
            <w:vAlign w:val="center"/>
          </w:tcPr>
          <w:p>
            <w:pPr>
              <w:rPr>
                <w:rFonts w:hint="eastAsia" w:ascii="微软雅黑" w:hAnsi="微软雅黑" w:eastAsia="微软雅黑" w:cs="微软雅黑"/>
                <w:sz w:val="24"/>
                <w:szCs w:val="24"/>
              </w:rPr>
            </w:pPr>
          </w:p>
        </w:tc>
        <w:tc>
          <w:tcPr>
            <w:tcW w:w="232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营业收入（</w:t>
            </w:r>
            <w:r>
              <w:rPr>
                <w:rFonts w:hint="eastAsia" w:ascii="宋体" w:hAnsi="宋体" w:eastAsia="宋体" w:cs="宋体"/>
                <w:spacing w:val="-30"/>
                <w:sz w:val="21"/>
                <w:szCs w:val="21"/>
                <w:bdr w:val="none" w:color="auto" w:sz="0" w:space="0"/>
              </w:rPr>
              <w:t>Y</w:t>
            </w:r>
            <w:r>
              <w:rPr>
                <w:rFonts w:hint="eastAsia" w:ascii="宋体" w:hAnsi="宋体" w:eastAsia="宋体" w:cs="宋体"/>
                <w:sz w:val="21"/>
                <w:szCs w:val="21"/>
                <w:bdr w:val="none" w:color="auto" w:sz="0" w:space="0"/>
              </w:rPr>
              <w:t>）</w:t>
            </w:r>
          </w:p>
        </w:tc>
        <w:tc>
          <w:tcPr>
            <w:tcW w:w="7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万元</w:t>
            </w:r>
          </w:p>
        </w:tc>
        <w:tc>
          <w:tcPr>
            <w:tcW w:w="109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Y≥10000</w:t>
            </w:r>
          </w:p>
        </w:tc>
        <w:tc>
          <w:tcPr>
            <w:tcW w:w="177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2000≤Y＜10000</w:t>
            </w:r>
          </w:p>
        </w:tc>
        <w:tc>
          <w:tcPr>
            <w:tcW w:w="16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100≤Y＜2000</w:t>
            </w:r>
          </w:p>
        </w:tc>
        <w:tc>
          <w:tcPr>
            <w:tcW w:w="102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Y＜100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0" w:type="dxa"/>
            <w:bottom w:w="0" w:type="dxa"/>
            <w:right w:w="0" w:type="dxa"/>
          </w:tblCellMar>
        </w:tblPrEx>
        <w:trPr>
          <w:jc w:val="center"/>
        </w:trPr>
        <w:tc>
          <w:tcPr>
            <w:tcW w:w="1185" w:type="dxa"/>
            <w:vMerge w:val="restart"/>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食品集中交易市场市场</w:t>
            </w:r>
          </w:p>
        </w:tc>
        <w:tc>
          <w:tcPr>
            <w:tcW w:w="232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食品经营者户数（R）</w:t>
            </w:r>
          </w:p>
        </w:tc>
        <w:tc>
          <w:tcPr>
            <w:tcW w:w="7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个</w:t>
            </w:r>
          </w:p>
        </w:tc>
        <w:tc>
          <w:tcPr>
            <w:tcW w:w="109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R</w:t>
            </w:r>
            <w:r>
              <w:rPr>
                <w:rFonts w:hint="eastAsia" w:ascii="宋体" w:hAnsi="宋体" w:eastAsia="宋体" w:cs="宋体"/>
                <w:sz w:val="21"/>
                <w:szCs w:val="21"/>
                <w:bdr w:val="none" w:color="auto" w:sz="0" w:space="0"/>
              </w:rPr>
              <w:t>≥1000</w:t>
            </w:r>
          </w:p>
        </w:tc>
        <w:tc>
          <w:tcPr>
            <w:tcW w:w="177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500≤</w:t>
            </w:r>
            <w:r>
              <w:rPr>
                <w:rFonts w:hint="eastAsia" w:ascii="宋体" w:hAnsi="宋体" w:eastAsia="宋体" w:cs="宋体"/>
                <w:spacing w:val="-15"/>
                <w:sz w:val="21"/>
                <w:szCs w:val="21"/>
                <w:bdr w:val="none" w:color="auto" w:sz="0" w:space="0"/>
              </w:rPr>
              <w:t>R</w:t>
            </w:r>
            <w:r>
              <w:rPr>
                <w:rFonts w:hint="eastAsia" w:ascii="宋体" w:hAnsi="宋体" w:eastAsia="宋体" w:cs="宋体"/>
                <w:sz w:val="21"/>
                <w:szCs w:val="21"/>
                <w:bdr w:val="none" w:color="auto" w:sz="0" w:space="0"/>
              </w:rPr>
              <w:t>＜1000</w:t>
            </w:r>
          </w:p>
        </w:tc>
        <w:tc>
          <w:tcPr>
            <w:tcW w:w="16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100≤</w:t>
            </w:r>
            <w:r>
              <w:rPr>
                <w:rFonts w:hint="eastAsia" w:ascii="宋体" w:hAnsi="宋体" w:eastAsia="宋体" w:cs="宋体"/>
                <w:spacing w:val="-15"/>
                <w:sz w:val="21"/>
                <w:szCs w:val="21"/>
                <w:bdr w:val="none" w:color="auto" w:sz="0" w:space="0"/>
              </w:rPr>
              <w:t>R</w:t>
            </w:r>
            <w:r>
              <w:rPr>
                <w:rFonts w:hint="eastAsia" w:ascii="宋体" w:hAnsi="宋体" w:eastAsia="宋体" w:cs="宋体"/>
                <w:sz w:val="21"/>
                <w:szCs w:val="21"/>
                <w:bdr w:val="none" w:color="auto" w:sz="0" w:space="0"/>
              </w:rPr>
              <w:t>＜500</w:t>
            </w:r>
          </w:p>
        </w:tc>
        <w:tc>
          <w:tcPr>
            <w:tcW w:w="102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R</w:t>
            </w:r>
            <w:r>
              <w:rPr>
                <w:rFonts w:hint="eastAsia" w:ascii="宋体" w:hAnsi="宋体" w:eastAsia="宋体" w:cs="宋体"/>
                <w:sz w:val="21"/>
                <w:szCs w:val="21"/>
                <w:bdr w:val="none" w:color="auto" w:sz="0" w:space="0"/>
              </w:rPr>
              <w:t>＜100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0" w:type="dxa"/>
            <w:bottom w:w="0" w:type="dxa"/>
            <w:right w:w="0" w:type="dxa"/>
          </w:tblCellMar>
        </w:tblPrEx>
        <w:trPr>
          <w:jc w:val="center"/>
        </w:trPr>
        <w:tc>
          <w:tcPr>
            <w:tcW w:w="1185" w:type="dxa"/>
            <w:vMerge w:val="continue"/>
            <w:tcBorders>
              <w:top w:val="nil"/>
              <w:left w:val="single" w:color="auto" w:sz="6" w:space="0"/>
              <w:bottom w:val="single" w:color="auto" w:sz="6" w:space="0"/>
              <w:right w:val="single" w:color="auto" w:sz="6" w:space="0"/>
            </w:tcBorders>
            <w:shd w:val="clear"/>
            <w:tcMar>
              <w:left w:w="105" w:type="dxa"/>
              <w:right w:w="105" w:type="dxa"/>
            </w:tcMar>
            <w:vAlign w:val="center"/>
          </w:tcPr>
          <w:p>
            <w:pPr>
              <w:rPr>
                <w:rFonts w:hint="eastAsia" w:ascii="微软雅黑" w:hAnsi="微软雅黑" w:eastAsia="微软雅黑" w:cs="微软雅黑"/>
                <w:sz w:val="24"/>
                <w:szCs w:val="24"/>
              </w:rPr>
            </w:pPr>
          </w:p>
        </w:tc>
        <w:tc>
          <w:tcPr>
            <w:tcW w:w="232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食品从业人员（</w:t>
            </w:r>
            <w:r>
              <w:rPr>
                <w:rFonts w:hint="eastAsia" w:ascii="宋体" w:hAnsi="宋体" w:eastAsia="宋体" w:cs="宋体"/>
                <w:spacing w:val="-30"/>
                <w:sz w:val="21"/>
                <w:szCs w:val="21"/>
                <w:bdr w:val="none" w:color="auto" w:sz="0" w:space="0"/>
              </w:rPr>
              <w:t>S</w:t>
            </w:r>
            <w:r>
              <w:rPr>
                <w:rFonts w:hint="eastAsia" w:ascii="宋体" w:hAnsi="宋体" w:eastAsia="宋体" w:cs="宋体"/>
                <w:sz w:val="21"/>
                <w:szCs w:val="21"/>
                <w:bdr w:val="none" w:color="auto" w:sz="0" w:space="0"/>
              </w:rPr>
              <w:t>）</w:t>
            </w:r>
          </w:p>
        </w:tc>
        <w:tc>
          <w:tcPr>
            <w:tcW w:w="7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人</w:t>
            </w:r>
          </w:p>
        </w:tc>
        <w:tc>
          <w:tcPr>
            <w:tcW w:w="109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S≥1000</w:t>
            </w:r>
          </w:p>
        </w:tc>
        <w:tc>
          <w:tcPr>
            <w:tcW w:w="177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500≤S＜1000</w:t>
            </w:r>
          </w:p>
        </w:tc>
        <w:tc>
          <w:tcPr>
            <w:tcW w:w="16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100≤S＜500</w:t>
            </w:r>
          </w:p>
        </w:tc>
        <w:tc>
          <w:tcPr>
            <w:tcW w:w="102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S＜100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0" w:type="dxa"/>
            <w:bottom w:w="0" w:type="dxa"/>
            <w:right w:w="0" w:type="dxa"/>
          </w:tblCellMar>
        </w:tblPrEx>
        <w:trPr>
          <w:jc w:val="center"/>
        </w:trPr>
        <w:tc>
          <w:tcPr>
            <w:tcW w:w="1185" w:type="dxa"/>
            <w:vMerge w:val="continue"/>
            <w:tcBorders>
              <w:top w:val="nil"/>
              <w:left w:val="single" w:color="auto" w:sz="6" w:space="0"/>
              <w:bottom w:val="single" w:color="auto" w:sz="6" w:space="0"/>
              <w:right w:val="single" w:color="auto" w:sz="6" w:space="0"/>
            </w:tcBorders>
            <w:shd w:val="clear"/>
            <w:tcMar>
              <w:left w:w="105" w:type="dxa"/>
              <w:right w:w="105" w:type="dxa"/>
            </w:tcMar>
            <w:vAlign w:val="center"/>
          </w:tcPr>
          <w:p>
            <w:pPr>
              <w:rPr>
                <w:rFonts w:hint="eastAsia" w:ascii="微软雅黑" w:hAnsi="微软雅黑" w:eastAsia="微软雅黑" w:cs="微软雅黑"/>
                <w:sz w:val="24"/>
                <w:szCs w:val="24"/>
              </w:rPr>
            </w:pPr>
          </w:p>
        </w:tc>
        <w:tc>
          <w:tcPr>
            <w:tcW w:w="232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开办者从业人员（</w:t>
            </w:r>
            <w:r>
              <w:rPr>
                <w:rFonts w:hint="eastAsia" w:ascii="宋体" w:hAnsi="宋体" w:eastAsia="宋体" w:cs="宋体"/>
                <w:spacing w:val="-30"/>
                <w:sz w:val="21"/>
                <w:szCs w:val="21"/>
                <w:bdr w:val="none" w:color="auto" w:sz="0" w:space="0"/>
              </w:rPr>
              <w:t>X</w:t>
            </w:r>
            <w:r>
              <w:rPr>
                <w:rFonts w:hint="eastAsia" w:ascii="宋体" w:hAnsi="宋体" w:eastAsia="宋体" w:cs="宋体"/>
                <w:sz w:val="21"/>
                <w:szCs w:val="21"/>
                <w:bdr w:val="none" w:color="auto" w:sz="0" w:space="0"/>
              </w:rPr>
              <w:t>）</w:t>
            </w:r>
          </w:p>
        </w:tc>
        <w:tc>
          <w:tcPr>
            <w:tcW w:w="7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人</w:t>
            </w:r>
          </w:p>
        </w:tc>
        <w:tc>
          <w:tcPr>
            <w:tcW w:w="109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X≥300</w:t>
            </w:r>
          </w:p>
        </w:tc>
        <w:tc>
          <w:tcPr>
            <w:tcW w:w="177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100≤X＜300</w:t>
            </w:r>
          </w:p>
        </w:tc>
        <w:tc>
          <w:tcPr>
            <w:tcW w:w="16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10≤X＜100</w:t>
            </w:r>
          </w:p>
        </w:tc>
        <w:tc>
          <w:tcPr>
            <w:tcW w:w="102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X＜10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0" w:type="dxa"/>
            <w:bottom w:w="0" w:type="dxa"/>
            <w:right w:w="0" w:type="dxa"/>
          </w:tblCellMar>
        </w:tblPrEx>
        <w:trPr>
          <w:jc w:val="center"/>
        </w:trPr>
        <w:tc>
          <w:tcPr>
            <w:tcW w:w="1185" w:type="dxa"/>
            <w:vMerge w:val="restart"/>
            <w:tcBorders>
              <w:top w:val="nil"/>
              <w:left w:val="single" w:color="auto" w:sz="6" w:space="0"/>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食品展销会</w:t>
            </w:r>
          </w:p>
        </w:tc>
        <w:tc>
          <w:tcPr>
            <w:tcW w:w="232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食品经营者户数（R）</w:t>
            </w:r>
          </w:p>
        </w:tc>
        <w:tc>
          <w:tcPr>
            <w:tcW w:w="7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个</w:t>
            </w:r>
          </w:p>
        </w:tc>
        <w:tc>
          <w:tcPr>
            <w:tcW w:w="109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R</w:t>
            </w:r>
            <w:r>
              <w:rPr>
                <w:rFonts w:hint="eastAsia" w:ascii="宋体" w:hAnsi="宋体" w:eastAsia="宋体" w:cs="宋体"/>
                <w:sz w:val="21"/>
                <w:szCs w:val="21"/>
                <w:bdr w:val="none" w:color="auto" w:sz="0" w:space="0"/>
              </w:rPr>
              <w:t>≥1000</w:t>
            </w:r>
          </w:p>
        </w:tc>
        <w:tc>
          <w:tcPr>
            <w:tcW w:w="177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500≤</w:t>
            </w:r>
            <w:r>
              <w:rPr>
                <w:rFonts w:hint="eastAsia" w:ascii="宋体" w:hAnsi="宋体" w:eastAsia="宋体" w:cs="宋体"/>
                <w:spacing w:val="-15"/>
                <w:sz w:val="21"/>
                <w:szCs w:val="21"/>
                <w:bdr w:val="none" w:color="auto" w:sz="0" w:space="0"/>
              </w:rPr>
              <w:t>R</w:t>
            </w:r>
            <w:r>
              <w:rPr>
                <w:rFonts w:hint="eastAsia" w:ascii="宋体" w:hAnsi="宋体" w:eastAsia="宋体" w:cs="宋体"/>
                <w:sz w:val="21"/>
                <w:szCs w:val="21"/>
                <w:bdr w:val="none" w:color="auto" w:sz="0" w:space="0"/>
              </w:rPr>
              <w:t>＜1000</w:t>
            </w:r>
          </w:p>
        </w:tc>
        <w:tc>
          <w:tcPr>
            <w:tcW w:w="16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100≤</w:t>
            </w:r>
            <w:r>
              <w:rPr>
                <w:rFonts w:hint="eastAsia" w:ascii="宋体" w:hAnsi="宋体" w:eastAsia="宋体" w:cs="宋体"/>
                <w:spacing w:val="-15"/>
                <w:sz w:val="21"/>
                <w:szCs w:val="21"/>
                <w:bdr w:val="none" w:color="auto" w:sz="0" w:space="0"/>
              </w:rPr>
              <w:t>R</w:t>
            </w:r>
            <w:r>
              <w:rPr>
                <w:rFonts w:hint="eastAsia" w:ascii="宋体" w:hAnsi="宋体" w:eastAsia="宋体" w:cs="宋体"/>
                <w:sz w:val="21"/>
                <w:szCs w:val="21"/>
                <w:bdr w:val="none" w:color="auto" w:sz="0" w:space="0"/>
              </w:rPr>
              <w:t>＜500</w:t>
            </w:r>
          </w:p>
        </w:tc>
        <w:tc>
          <w:tcPr>
            <w:tcW w:w="102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R</w:t>
            </w:r>
            <w:r>
              <w:rPr>
                <w:rFonts w:hint="eastAsia" w:ascii="宋体" w:hAnsi="宋体" w:eastAsia="宋体" w:cs="宋体"/>
                <w:sz w:val="21"/>
                <w:szCs w:val="21"/>
                <w:bdr w:val="none" w:color="auto" w:sz="0" w:space="0"/>
              </w:rPr>
              <w:t>＜100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0" w:type="dxa"/>
            <w:bottom w:w="0" w:type="dxa"/>
            <w:right w:w="0" w:type="dxa"/>
          </w:tblCellMar>
        </w:tblPrEx>
        <w:trPr>
          <w:jc w:val="center"/>
        </w:trPr>
        <w:tc>
          <w:tcPr>
            <w:tcW w:w="1185" w:type="dxa"/>
            <w:vMerge w:val="continue"/>
            <w:tcBorders>
              <w:top w:val="nil"/>
              <w:left w:val="single" w:color="auto" w:sz="6" w:space="0"/>
              <w:bottom w:val="single" w:color="auto" w:sz="6" w:space="0"/>
              <w:right w:val="single" w:color="auto" w:sz="6" w:space="0"/>
            </w:tcBorders>
            <w:shd w:val="clear"/>
            <w:tcMar>
              <w:left w:w="105" w:type="dxa"/>
              <w:right w:w="105" w:type="dxa"/>
            </w:tcMar>
            <w:vAlign w:val="center"/>
          </w:tcPr>
          <w:p>
            <w:pPr>
              <w:rPr>
                <w:rFonts w:hint="eastAsia" w:ascii="微软雅黑" w:hAnsi="微软雅黑" w:eastAsia="微软雅黑" w:cs="微软雅黑"/>
                <w:sz w:val="24"/>
                <w:szCs w:val="24"/>
              </w:rPr>
            </w:pPr>
          </w:p>
        </w:tc>
        <w:tc>
          <w:tcPr>
            <w:tcW w:w="232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食品经营从业人员（</w:t>
            </w:r>
            <w:r>
              <w:rPr>
                <w:rFonts w:hint="eastAsia" w:ascii="宋体" w:hAnsi="宋体" w:eastAsia="宋体" w:cs="宋体"/>
                <w:spacing w:val="-30"/>
                <w:sz w:val="21"/>
                <w:szCs w:val="21"/>
                <w:bdr w:val="none" w:color="auto" w:sz="0" w:space="0"/>
              </w:rPr>
              <w:t>S</w:t>
            </w:r>
            <w:r>
              <w:rPr>
                <w:rFonts w:hint="eastAsia" w:ascii="宋体" w:hAnsi="宋体" w:eastAsia="宋体" w:cs="宋体"/>
                <w:sz w:val="21"/>
                <w:szCs w:val="21"/>
                <w:bdr w:val="none" w:color="auto" w:sz="0" w:space="0"/>
              </w:rPr>
              <w:t>）</w:t>
            </w:r>
          </w:p>
        </w:tc>
        <w:tc>
          <w:tcPr>
            <w:tcW w:w="7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人</w:t>
            </w:r>
          </w:p>
        </w:tc>
        <w:tc>
          <w:tcPr>
            <w:tcW w:w="109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S≥1000</w:t>
            </w:r>
          </w:p>
        </w:tc>
        <w:tc>
          <w:tcPr>
            <w:tcW w:w="177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500≤S＜1000</w:t>
            </w:r>
          </w:p>
        </w:tc>
        <w:tc>
          <w:tcPr>
            <w:tcW w:w="16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100≤S＜500</w:t>
            </w:r>
          </w:p>
        </w:tc>
        <w:tc>
          <w:tcPr>
            <w:tcW w:w="102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S＜100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0" w:type="dxa"/>
            <w:bottom w:w="0" w:type="dxa"/>
            <w:right w:w="0" w:type="dxa"/>
          </w:tblCellMar>
        </w:tblPrEx>
        <w:trPr>
          <w:jc w:val="center"/>
        </w:trPr>
        <w:tc>
          <w:tcPr>
            <w:tcW w:w="1185" w:type="dxa"/>
            <w:vMerge w:val="continue"/>
            <w:tcBorders>
              <w:top w:val="nil"/>
              <w:left w:val="single" w:color="auto" w:sz="6" w:space="0"/>
              <w:bottom w:val="single" w:color="auto" w:sz="6" w:space="0"/>
              <w:right w:val="single" w:color="auto" w:sz="6" w:space="0"/>
            </w:tcBorders>
            <w:shd w:val="clear"/>
            <w:tcMar>
              <w:left w:w="105" w:type="dxa"/>
              <w:right w:w="105" w:type="dxa"/>
            </w:tcMar>
            <w:vAlign w:val="center"/>
          </w:tcPr>
          <w:p>
            <w:pPr>
              <w:rPr>
                <w:rFonts w:hint="eastAsia" w:ascii="微软雅黑" w:hAnsi="微软雅黑" w:eastAsia="微软雅黑" w:cs="微软雅黑"/>
                <w:sz w:val="24"/>
                <w:szCs w:val="24"/>
              </w:rPr>
            </w:pPr>
          </w:p>
        </w:tc>
        <w:tc>
          <w:tcPr>
            <w:tcW w:w="232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pacing w:val="-15"/>
                <w:sz w:val="21"/>
                <w:szCs w:val="21"/>
                <w:bdr w:val="none" w:color="auto" w:sz="0" w:space="0"/>
              </w:rPr>
              <w:t>开办者从业人员（</w:t>
            </w:r>
            <w:r>
              <w:rPr>
                <w:rFonts w:hint="eastAsia" w:ascii="宋体" w:hAnsi="宋体" w:eastAsia="宋体" w:cs="宋体"/>
                <w:spacing w:val="-30"/>
                <w:sz w:val="21"/>
                <w:szCs w:val="21"/>
                <w:bdr w:val="none" w:color="auto" w:sz="0" w:space="0"/>
              </w:rPr>
              <w:t>X</w:t>
            </w:r>
            <w:r>
              <w:rPr>
                <w:rFonts w:hint="eastAsia" w:ascii="宋体" w:hAnsi="宋体" w:eastAsia="宋体" w:cs="宋体"/>
                <w:sz w:val="21"/>
                <w:szCs w:val="21"/>
                <w:bdr w:val="none" w:color="auto" w:sz="0" w:space="0"/>
              </w:rPr>
              <w:t>）</w:t>
            </w:r>
          </w:p>
        </w:tc>
        <w:tc>
          <w:tcPr>
            <w:tcW w:w="7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人</w:t>
            </w:r>
          </w:p>
        </w:tc>
        <w:tc>
          <w:tcPr>
            <w:tcW w:w="109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X≥300</w:t>
            </w:r>
          </w:p>
        </w:tc>
        <w:tc>
          <w:tcPr>
            <w:tcW w:w="177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100≤X＜300</w:t>
            </w:r>
          </w:p>
        </w:tc>
        <w:tc>
          <w:tcPr>
            <w:tcW w:w="1605"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10≤X＜100</w:t>
            </w:r>
          </w:p>
        </w:tc>
        <w:tc>
          <w:tcPr>
            <w:tcW w:w="1020" w:type="dxa"/>
            <w:tcBorders>
              <w:top w:val="nil"/>
              <w:left w:val="nil"/>
              <w:bottom w:val="single" w:color="auto" w:sz="6" w:space="0"/>
              <w:right w:val="single" w:color="auto"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rFonts w:hint="eastAsia" w:ascii="微软雅黑" w:hAnsi="微软雅黑" w:eastAsia="微软雅黑" w:cs="微软雅黑"/>
                <w:sz w:val="31"/>
                <w:szCs w:val="31"/>
              </w:rPr>
            </w:pPr>
            <w:r>
              <w:rPr>
                <w:rFonts w:hint="eastAsia" w:ascii="宋体" w:hAnsi="宋体" w:eastAsia="宋体" w:cs="宋体"/>
                <w:sz w:val="21"/>
                <w:szCs w:val="21"/>
                <w:bdr w:val="none" w:color="auto" w:sz="0" w:space="0"/>
              </w:rPr>
              <w:t>X＜10</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Times New Roman" w:hAnsi="Times New Roman" w:cs="Times New Roman"/>
          <w:i w:val="0"/>
          <w:iCs w:val="0"/>
          <w:caps w:val="0"/>
          <w:color w:val="000000"/>
          <w:spacing w:val="0"/>
          <w:sz w:val="31"/>
          <w:szCs w:val="31"/>
        </w:rPr>
      </w:pPr>
      <w:r>
        <w:rPr>
          <w:rFonts w:hint="eastAsia" w:ascii="微软雅黑" w:hAnsi="微软雅黑" w:eastAsia="微软雅黑" w:cs="微软雅黑"/>
          <w:i w:val="0"/>
          <w:iCs w:val="0"/>
          <w:caps w:val="0"/>
          <w:color w:val="000000"/>
          <w:spacing w:val="0"/>
          <w:sz w:val="31"/>
          <w:szCs w:val="31"/>
          <w:bdr w:val="none" w:color="auto" w:sz="0" w:space="0"/>
          <w:shd w:val="clear" w:fill="FFFFFF"/>
        </w:rPr>
        <w:t>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5NDg0MjllNDU0MmUzNmRhOGNiODUyNzZjMDg0NzkifQ=="/>
  </w:docVars>
  <w:rsids>
    <w:rsidRoot w:val="4C6F7817"/>
    <w:rsid w:val="322F6686"/>
    <w:rsid w:val="4C6F78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2024-02-01T03:45:00Z</dcterms:created>
  <dc:creator>演示人</dc:creator>
  <cp:lastModifiedBy>演示人</cp:lastModifiedBy>
  <dcterms:modified xsi:type="dcterms:W3CDTF">2024-02-01T03:46:03Z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CE3695ED92544DB8A903DEE69A4FD43F_11</vt:lpwstr>
  </property>
</Properties>
</file>