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ascii="Times New Roman" w:hAnsi="Times New Roman" w:eastAsia="仿宋_GB2312"/>
        </w:rPr>
      </w:pPr>
      <w:bookmarkStart w:id="0" w:name="_GoBack"/>
      <w:bookmarkEnd w:id="0"/>
      <w:r>
        <w:rPr>
          <w:rFonts w:hint="eastAsia" w:ascii="Times New Roman" w:hAnsi="Times New Roman" w:eastAsia="黑体" w:cs="黑体"/>
          <w:sz w:val="32"/>
          <w:szCs w:val="32"/>
        </w:rPr>
        <w:t>附件</w:t>
      </w:r>
    </w:p>
    <w:tbl>
      <w:tblPr>
        <w:tblStyle w:val="4"/>
        <w:tblW w:w="5163" w:type="pct"/>
        <w:jc w:val="center"/>
        <w:tblBorders>
          <w:top w:val="none" w:color="auto" w:sz="0" w:space="0"/>
          <w:left w:val="none" w:color="auto" w:sz="0" w:space="0"/>
          <w:bottom w:val="sing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tblLayout w:type="autofit"/>
        <w:tblCellMar>
          <w:top w:w="49" w:type="dxa"/>
          <w:left w:w="108" w:type="dxa"/>
          <w:bottom w:w="49" w:type="dxa"/>
          <w:right w:w="108" w:type="dxa"/>
        </w:tblCellMar>
      </w:tblPr>
      <w:tblGrid>
        <w:gridCol w:w="3103"/>
        <w:gridCol w:w="1873"/>
        <w:gridCol w:w="3047"/>
        <w:gridCol w:w="2037"/>
        <w:gridCol w:w="3764"/>
        <w:gridCol w:w="812"/>
      </w:tblGrid>
      <w:tr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kern w:val="0"/>
                <w:szCs w:val="21"/>
              </w:rPr>
            </w:pPr>
            <w:r>
              <w:rPr>
                <w:rFonts w:hint="eastAsia" w:eastAsia="方正小标宋简体" w:cs="方正小标宋简体"/>
                <w:sz w:val="44"/>
                <w:szCs w:val="44"/>
              </w:rPr>
              <w:t>茶叶过度包装整治工作统计表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cantSplit/>
          <w:trHeight w:val="460" w:hRule="exact"/>
          <w:jc w:val="center"/>
        </w:trPr>
        <w:tc>
          <w:tcPr>
            <w:tcW w:w="170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overflowPunct w:val="0"/>
              <w:topLinePunct/>
              <w:jc w:val="left"/>
              <w:textAlignment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填报单位：</w:t>
            </w:r>
          </w:p>
        </w:tc>
        <w:tc>
          <w:tcPr>
            <w:tcW w:w="173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overflowPunct w:val="0"/>
              <w:topLinePunct/>
              <w:jc w:val="left"/>
              <w:textAlignment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填报时间：</w:t>
            </w:r>
            <w:r>
              <w:rPr>
                <w:kern w:val="0"/>
                <w:szCs w:val="21"/>
              </w:rPr>
              <w:t xml:space="preserve">     </w:t>
            </w:r>
            <w:r>
              <w:rPr>
                <w:rFonts w:hint="eastAsia"/>
                <w:kern w:val="0"/>
                <w:szCs w:val="21"/>
              </w:rPr>
              <w:t>年</w:t>
            </w:r>
            <w:r>
              <w:rPr>
                <w:kern w:val="0"/>
                <w:szCs w:val="21"/>
              </w:rPr>
              <w:t xml:space="preserve">      </w:t>
            </w:r>
            <w:r>
              <w:rPr>
                <w:rFonts w:hint="eastAsia"/>
                <w:kern w:val="0"/>
                <w:szCs w:val="21"/>
              </w:rPr>
              <w:t>月</w:t>
            </w:r>
            <w:r>
              <w:rPr>
                <w:kern w:val="0"/>
                <w:szCs w:val="21"/>
              </w:rPr>
              <w:t xml:space="preserve">   </w:t>
            </w:r>
            <w:r>
              <w:rPr>
                <w:rFonts w:hint="eastAsia"/>
                <w:kern w:val="0"/>
                <w:szCs w:val="21"/>
              </w:rPr>
              <w:t>日</w:t>
            </w:r>
          </w:p>
        </w:tc>
        <w:tc>
          <w:tcPr>
            <w:tcW w:w="156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overflowPunct w:val="0"/>
              <w:topLinePunct/>
              <w:jc w:val="left"/>
              <w:textAlignment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填报人及电话：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cantSplit/>
          <w:trHeight w:val="460" w:hRule="exact"/>
          <w:jc w:val="center"/>
        </w:trPr>
        <w:tc>
          <w:tcPr>
            <w:tcW w:w="10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出动执法人员（人次）</w:t>
            </w:r>
          </w:p>
        </w:tc>
        <w:tc>
          <w:tcPr>
            <w:tcW w:w="6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0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检查经营主体（户次）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szCs w:val="21"/>
              </w:rPr>
            </w:pPr>
          </w:p>
        </w:tc>
        <w:tc>
          <w:tcPr>
            <w:tcW w:w="1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过度包装茶叶数量（件）</w:t>
            </w: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cantSplit/>
          <w:trHeight w:val="741" w:hRule="exact"/>
          <w:jc w:val="center"/>
        </w:trPr>
        <w:tc>
          <w:tcPr>
            <w:tcW w:w="10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责令改正并警告（件）</w:t>
            </w:r>
          </w:p>
        </w:tc>
        <w:tc>
          <w:tcPr>
            <w:tcW w:w="6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0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报送自治区局典型案例数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szCs w:val="21"/>
              </w:rPr>
            </w:pPr>
          </w:p>
        </w:tc>
        <w:tc>
          <w:tcPr>
            <w:tcW w:w="1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自治区局采纳典型案例发布数</w:t>
            </w: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cantSplit/>
          <w:trHeight w:val="460" w:hRule="exact"/>
          <w:jc w:val="center"/>
        </w:trPr>
        <w:tc>
          <w:tcPr>
            <w:tcW w:w="10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上级挂牌督办案件数</w:t>
            </w:r>
          </w:p>
        </w:tc>
        <w:tc>
          <w:tcPr>
            <w:tcW w:w="6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0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信息发布（次）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szCs w:val="21"/>
              </w:rPr>
            </w:pPr>
          </w:p>
        </w:tc>
        <w:tc>
          <w:tcPr>
            <w:tcW w:w="1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媒体报道（次）</w:t>
            </w: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cantSplit/>
          <w:trHeight w:val="736" w:hRule="atLeast"/>
          <w:jc w:val="center"/>
        </w:trPr>
        <w:tc>
          <w:tcPr>
            <w:tcW w:w="10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single" w:color="000000" w:sz="4" w:space="0"/>
            </w:tcBorders>
            <w:shd w:val="clear" w:color="auto" w:fill="FFFFFF"/>
            <w:vAlign w:val="center"/>
          </w:tcPr>
          <w:p>
            <w:pPr>
              <w:ind w:firstLine="210" w:firstLineChars="100"/>
              <w:jc w:val="left"/>
              <w:textAlignment w:val="center"/>
              <w:rPr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项目</w:t>
            </w:r>
            <w:r>
              <w:rPr>
                <w:kern w:val="0"/>
                <w:szCs w:val="21"/>
              </w:rPr>
              <w:t xml:space="preserve">           </w:t>
            </w:r>
            <w:r>
              <w:rPr>
                <w:rFonts w:hint="eastAsia"/>
                <w:kern w:val="0"/>
                <w:szCs w:val="21"/>
              </w:rPr>
              <w:t>数量</w:t>
            </w:r>
          </w:p>
        </w:tc>
        <w:tc>
          <w:tcPr>
            <w:tcW w:w="6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查办案件（件）</w:t>
            </w:r>
          </w:p>
        </w:tc>
        <w:tc>
          <w:tcPr>
            <w:tcW w:w="10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案值（万元）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罚没金额（万元）</w:t>
            </w:r>
          </w:p>
        </w:tc>
        <w:tc>
          <w:tcPr>
            <w:tcW w:w="1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移送其他部门线索（件）</w:t>
            </w: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szCs w:val="21"/>
              </w:rPr>
            </w:pPr>
            <w:r>
              <w:rPr>
                <w:rStyle w:val="7"/>
                <w:rFonts w:hint="default"/>
                <w:szCs w:val="21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cantSplit/>
          <w:trHeight w:val="460" w:hRule="exact"/>
          <w:jc w:val="center"/>
        </w:trPr>
        <w:tc>
          <w:tcPr>
            <w:tcW w:w="10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茶叶过度包装案件</w:t>
            </w:r>
          </w:p>
        </w:tc>
        <w:tc>
          <w:tcPr>
            <w:tcW w:w="6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cantSplit/>
          <w:trHeight w:val="460" w:hRule="exact"/>
          <w:jc w:val="center"/>
        </w:trPr>
        <w:tc>
          <w:tcPr>
            <w:tcW w:w="10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涉网络交易过度包装案件</w:t>
            </w:r>
          </w:p>
        </w:tc>
        <w:tc>
          <w:tcPr>
            <w:tcW w:w="6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cantSplit/>
          <w:trHeight w:val="460" w:hRule="exact"/>
          <w:jc w:val="center"/>
        </w:trPr>
        <w:tc>
          <w:tcPr>
            <w:tcW w:w="10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涉茶叶其他类案件</w:t>
            </w:r>
          </w:p>
        </w:tc>
        <w:tc>
          <w:tcPr>
            <w:tcW w:w="6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left"/>
              <w:textAlignment w:val="center"/>
              <w:rPr>
                <w:kern w:val="0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575" w:hRule="atLeast"/>
          <w:jc w:val="center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exact"/>
              <w:ind w:firstLine="421" w:firstLineChars="200"/>
              <w:rPr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表注</w:t>
            </w:r>
            <w:r>
              <w:rPr>
                <w:rFonts w:hint="eastAsia"/>
                <w:szCs w:val="24"/>
              </w:rPr>
              <w:t>：</w:t>
            </w:r>
            <w:r>
              <w:rPr>
                <w:szCs w:val="24"/>
              </w:rPr>
              <w:t>1.</w:t>
            </w:r>
            <w:r>
              <w:rPr>
                <w:rFonts w:hint="eastAsia"/>
                <w:szCs w:val="24"/>
              </w:rPr>
              <w:t>茶叶过度包装类案件，是指依据《固废法》或者地方性法规规章处罚的案件。</w:t>
            </w:r>
            <w:r>
              <w:rPr>
                <w:szCs w:val="24"/>
              </w:rPr>
              <w:t>2.</w:t>
            </w:r>
            <w:r>
              <w:rPr>
                <w:rFonts w:hint="eastAsia"/>
                <w:szCs w:val="24"/>
              </w:rPr>
              <w:t>涉网络交易案件是指违法主体是网络经营者的案件。不考虑前述案件数可能交叉重叠，直接填列。</w:t>
            </w:r>
            <w:r>
              <w:rPr>
                <w:szCs w:val="24"/>
              </w:rPr>
              <w:t>3.</w:t>
            </w:r>
            <w:r>
              <w:rPr>
                <w:rFonts w:hint="eastAsia"/>
                <w:szCs w:val="24"/>
              </w:rPr>
              <w:t>其他类案件是指涉及虚假广告、不正当竞争、侵权假冒等案件；</w:t>
            </w:r>
            <w:r>
              <w:rPr>
                <w:szCs w:val="24"/>
              </w:rPr>
              <w:t>4.</w:t>
            </w:r>
            <w:r>
              <w:rPr>
                <w:rFonts w:hint="eastAsia"/>
                <w:szCs w:val="24"/>
              </w:rPr>
              <w:t>典型案例报送和发布数是指报送自治区局并采纳发布数；</w:t>
            </w:r>
            <w:r>
              <w:rPr>
                <w:rStyle w:val="8"/>
                <w:rFonts w:hint="default"/>
                <w:szCs w:val="21"/>
              </w:rPr>
              <w:t>信息发布是指通过官网、官微、官方公众号、新闻发布会等发布信息；媒体报道是指媒体如电视台、报纸，杂志等，不包括本单位新闻发布。5.其他</w:t>
            </w:r>
            <w:r>
              <w:rPr>
                <w:rFonts w:hint="eastAsia"/>
                <w:szCs w:val="24"/>
              </w:rPr>
              <w:t>查办案件是指给予罚款的行政处罚案件。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F42"/>
    <w:rsid w:val="00564A69"/>
    <w:rsid w:val="005C5444"/>
    <w:rsid w:val="008A5F42"/>
    <w:rsid w:val="8DF7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semiHidden/>
    <w:unhideWhenUsed/>
    <w:qFormat/>
    <w:uiPriority w:val="99"/>
    <w:pPr>
      <w:spacing w:after="120"/>
    </w:pPr>
  </w:style>
  <w:style w:type="paragraph" w:styleId="3">
    <w:name w:val="footer"/>
    <w:basedOn w:val="1"/>
    <w:next w:val="1"/>
    <w:link w:val="6"/>
    <w:semiHidden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24"/>
    </w:rPr>
  </w:style>
  <w:style w:type="character" w:customStyle="1" w:styleId="6">
    <w:name w:val="页脚 Char"/>
    <w:basedOn w:val="5"/>
    <w:link w:val="3"/>
    <w:semiHidden/>
    <w:qFormat/>
    <w:uiPriority w:val="0"/>
    <w:rPr>
      <w:rFonts w:ascii="Calibri" w:hAnsi="Calibri" w:eastAsia="宋体" w:cs="Times New Roman"/>
      <w:sz w:val="18"/>
      <w:szCs w:val="24"/>
    </w:rPr>
  </w:style>
  <w:style w:type="character" w:customStyle="1" w:styleId="7">
    <w:name w:val="font11"/>
    <w:basedOn w:val="5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8">
    <w:name w:val="font2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正文文本 Char"/>
    <w:basedOn w:val="5"/>
    <w:link w:val="2"/>
    <w:semiHidden/>
    <w:qFormat/>
    <w:uiPriority w:val="99"/>
    <w:rPr>
      <w:rFonts w:ascii="Times New Roman" w:hAnsi="Times New Roman" w:eastAsia="宋体" w:cs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74</Words>
  <Characters>423</Characters>
  <Lines>3</Lines>
  <Paragraphs>1</Paragraphs>
  <TotalTime>1</TotalTime>
  <ScaleCrop>false</ScaleCrop>
  <LinksUpToDate>false</LinksUpToDate>
  <CharactersWithSpaces>496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2023-05-10T11:50:00Z</dcterms:created>
  <dc:creator>黎明</dc:creator>
  <cp:lastModifiedBy>sjj</cp:lastModifiedBy>
  <dcterms:modified xsi:type="dcterms:W3CDTF">2023-05-29T08:48:28Z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</Properties>
</file>